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FED18" w14:textId="065B17C5" w:rsidR="00486D69" w:rsidRPr="00B0756B" w:rsidRDefault="00486D69" w:rsidP="00B0756B">
      <w:pPr>
        <w:jc w:val="center"/>
        <w:rPr>
          <w:rFonts w:ascii="黑体" w:eastAsia="黑体" w:hAnsi="黑体" w:hint="eastAsia"/>
          <w:sz w:val="32"/>
          <w:szCs w:val="32"/>
        </w:rPr>
      </w:pPr>
      <w:r w:rsidRPr="00B0756B">
        <w:rPr>
          <w:rFonts w:ascii="黑体" w:eastAsia="黑体" w:hAnsi="黑体" w:hint="eastAsia"/>
          <w:b/>
          <w:sz w:val="32"/>
          <w:szCs w:val="32"/>
        </w:rPr>
        <w:t>《</w:t>
      </w:r>
      <w:r w:rsidRPr="00B0756B">
        <w:rPr>
          <w:rFonts w:ascii="黑体" w:eastAsia="黑体" w:hAnsi="黑体" w:hint="eastAsia"/>
          <w:sz w:val="32"/>
          <w:szCs w:val="32"/>
        </w:rPr>
        <w:t>电能表误差在线评估系统评价规范》</w:t>
      </w:r>
    </w:p>
    <w:p w14:paraId="0CB79D2B" w14:textId="4A114C01" w:rsidR="00486D69" w:rsidRPr="00B0756B" w:rsidRDefault="00486D69" w:rsidP="00B0756B">
      <w:pPr>
        <w:jc w:val="center"/>
        <w:rPr>
          <w:rFonts w:ascii="黑体" w:eastAsia="黑体" w:hAnsi="黑体"/>
          <w:sz w:val="32"/>
          <w:szCs w:val="32"/>
        </w:rPr>
      </w:pPr>
      <w:r w:rsidRPr="00B0756B">
        <w:rPr>
          <w:rFonts w:ascii="黑体" w:eastAsia="黑体" w:hAnsi="黑体"/>
          <w:sz w:val="32"/>
          <w:szCs w:val="32"/>
        </w:rPr>
        <w:t>编制说明</w:t>
      </w:r>
    </w:p>
    <w:p w14:paraId="7B154060" w14:textId="77777777" w:rsidR="00486D69" w:rsidRPr="00B77D92" w:rsidRDefault="00486D69" w:rsidP="00486D69">
      <w:pPr>
        <w:adjustRightInd w:val="0"/>
        <w:snapToGrid w:val="0"/>
        <w:spacing w:line="360" w:lineRule="auto"/>
        <w:ind w:right="-1"/>
        <w:rPr>
          <w:rFonts w:ascii="宋体" w:hAnsi="宋体" w:hint="eastAsia"/>
          <w:b/>
          <w:sz w:val="24"/>
        </w:rPr>
      </w:pPr>
      <w:r w:rsidRPr="00B77D92">
        <w:rPr>
          <w:rFonts w:ascii="宋体" w:hAnsi="宋体" w:hint="eastAsia"/>
          <w:b/>
          <w:sz w:val="24"/>
        </w:rPr>
        <w:t>一、任务来源</w:t>
      </w:r>
    </w:p>
    <w:p w14:paraId="7FB102B2" w14:textId="6996D118" w:rsidR="007A37F0" w:rsidRPr="007A37F0" w:rsidRDefault="00486D69" w:rsidP="007A37F0">
      <w:pPr>
        <w:snapToGrid w:val="0"/>
        <w:spacing w:line="360" w:lineRule="auto"/>
        <w:ind w:firstLineChars="200" w:firstLine="480"/>
        <w:rPr>
          <w:rFonts w:ascii="宋体" w:hAnsi="宋体"/>
          <w:sz w:val="24"/>
        </w:rPr>
      </w:pPr>
      <w:r w:rsidRPr="00B77D92">
        <w:rPr>
          <w:rFonts w:ascii="宋体" w:hAnsi="宋体"/>
          <w:sz w:val="24"/>
        </w:rPr>
        <w:t>根据国家市场监督管理总局办公厅关于印发《</w:t>
      </w:r>
      <w:r w:rsidR="00463F70" w:rsidRPr="00463F70">
        <w:rPr>
          <w:rFonts w:ascii="宋体" w:hAnsi="宋体" w:hint="eastAsia"/>
          <w:sz w:val="24"/>
        </w:rPr>
        <w:t>2026年国家计量技术规范制定、修订及宣贯计划</w:t>
      </w:r>
      <w:r w:rsidRPr="00B77D92">
        <w:rPr>
          <w:rFonts w:ascii="宋体" w:hAnsi="宋体"/>
          <w:sz w:val="24"/>
        </w:rPr>
        <w:t>》的通知</w:t>
      </w:r>
      <w:r w:rsidRPr="00B77D92">
        <w:rPr>
          <w:rFonts w:ascii="宋体" w:hAnsi="宋体" w:hint="eastAsia"/>
          <w:sz w:val="24"/>
        </w:rPr>
        <w:t>（市监计量发[20</w:t>
      </w:r>
      <w:r w:rsidR="00463F70">
        <w:rPr>
          <w:rFonts w:ascii="宋体" w:hAnsi="宋体" w:hint="eastAsia"/>
          <w:sz w:val="24"/>
        </w:rPr>
        <w:t>26</w:t>
      </w:r>
      <w:r w:rsidRPr="00B77D92">
        <w:rPr>
          <w:rFonts w:ascii="宋体" w:hAnsi="宋体"/>
          <w:sz w:val="24"/>
        </w:rPr>
        <w:t>]</w:t>
      </w:r>
      <w:r w:rsidR="00463F70">
        <w:rPr>
          <w:rFonts w:ascii="宋体" w:hAnsi="宋体" w:hint="eastAsia"/>
          <w:sz w:val="24"/>
        </w:rPr>
        <w:t>63</w:t>
      </w:r>
      <w:r w:rsidRPr="00B77D92">
        <w:rPr>
          <w:rFonts w:ascii="宋体" w:hAnsi="宋体" w:hint="eastAsia"/>
          <w:sz w:val="24"/>
        </w:rPr>
        <w:t>号）</w:t>
      </w:r>
      <w:r w:rsidRPr="00B77D92">
        <w:rPr>
          <w:rFonts w:ascii="宋体" w:hAnsi="宋体"/>
          <w:sz w:val="24"/>
        </w:rPr>
        <w:t>，</w:t>
      </w:r>
      <w:r w:rsidR="007A37F0">
        <w:rPr>
          <w:rFonts w:ascii="宋体" w:hAnsi="宋体" w:hint="eastAsia"/>
          <w:sz w:val="24"/>
        </w:rPr>
        <w:t>由</w:t>
      </w:r>
      <w:r w:rsidR="007A37F0" w:rsidRPr="007A37F0">
        <w:rPr>
          <w:rFonts w:ascii="宋体" w:hAnsi="宋体" w:hint="eastAsia"/>
          <w:sz w:val="24"/>
        </w:rPr>
        <w:t>中国计量科学研究院</w:t>
      </w:r>
      <w:r w:rsidR="007A37F0">
        <w:rPr>
          <w:rFonts w:ascii="宋体" w:hAnsi="宋体" w:hint="eastAsia"/>
          <w:sz w:val="24"/>
        </w:rPr>
        <w:t>、</w:t>
      </w:r>
      <w:r w:rsidR="007A37F0" w:rsidRPr="007A37F0">
        <w:rPr>
          <w:rFonts w:ascii="宋体" w:hAnsi="宋体" w:hint="eastAsia"/>
          <w:sz w:val="24"/>
        </w:rPr>
        <w:t>中国电力科学研究院有限公司</w:t>
      </w:r>
      <w:r w:rsidR="007A37F0">
        <w:rPr>
          <w:rFonts w:ascii="宋体" w:hAnsi="宋体" w:hint="eastAsia"/>
          <w:sz w:val="24"/>
        </w:rPr>
        <w:t>、</w:t>
      </w:r>
      <w:r w:rsidR="007A37F0" w:rsidRPr="007A37F0">
        <w:rPr>
          <w:rFonts w:ascii="宋体" w:hAnsi="宋体" w:hint="eastAsia"/>
          <w:sz w:val="24"/>
        </w:rPr>
        <w:t>南方电网数字电网集团有限公司</w:t>
      </w:r>
      <w:r w:rsidR="007A37F0" w:rsidRPr="00B77D92">
        <w:rPr>
          <w:rFonts w:ascii="宋体" w:hAnsi="宋体"/>
          <w:sz w:val="24"/>
        </w:rPr>
        <w:t>作为主要起草单位</w:t>
      </w:r>
      <w:r w:rsidR="007A37F0">
        <w:rPr>
          <w:rFonts w:ascii="宋体" w:hAnsi="宋体" w:hint="eastAsia"/>
          <w:sz w:val="24"/>
        </w:rPr>
        <w:t>，</w:t>
      </w:r>
      <w:r w:rsidR="007A37F0" w:rsidRPr="007A37F0">
        <w:rPr>
          <w:rFonts w:ascii="宋体" w:hAnsi="宋体" w:hint="eastAsia"/>
          <w:sz w:val="24"/>
        </w:rPr>
        <w:t>广东省计量科学研究院</w:t>
      </w:r>
      <w:r w:rsidR="007A37F0">
        <w:rPr>
          <w:rFonts w:ascii="宋体" w:hAnsi="宋体" w:hint="eastAsia"/>
          <w:sz w:val="24"/>
        </w:rPr>
        <w:t>、</w:t>
      </w:r>
      <w:r w:rsidR="007A37F0" w:rsidRPr="007A37F0">
        <w:rPr>
          <w:rFonts w:ascii="宋体" w:hAnsi="宋体" w:hint="eastAsia"/>
          <w:sz w:val="24"/>
        </w:rPr>
        <w:t>福建省计量科学研究</w:t>
      </w:r>
      <w:r w:rsidR="007A37F0" w:rsidRPr="00B77D92">
        <w:rPr>
          <w:rFonts w:ascii="宋体" w:hAnsi="宋体" w:hint="eastAsia"/>
          <w:sz w:val="24"/>
        </w:rPr>
        <w:t>作为参与起草单位共同</w:t>
      </w:r>
      <w:r w:rsidR="007A37F0" w:rsidRPr="00B77D92">
        <w:rPr>
          <w:rFonts w:ascii="宋体" w:hAnsi="宋体"/>
          <w:sz w:val="24"/>
        </w:rPr>
        <w:t>承担</w:t>
      </w:r>
      <w:r w:rsidR="007A37F0">
        <w:rPr>
          <w:rFonts w:ascii="宋体" w:hAnsi="宋体" w:hint="eastAsia"/>
          <w:sz w:val="24"/>
        </w:rPr>
        <w:t>《</w:t>
      </w:r>
      <w:r w:rsidR="007A37F0">
        <w:rPr>
          <w:rFonts w:ascii="宋体" w:hAnsi="宋体" w:hint="eastAsia"/>
          <w:sz w:val="24"/>
        </w:rPr>
        <w:t>电能表误差在线评估系统评价规范</w:t>
      </w:r>
      <w:r w:rsidR="007A37F0">
        <w:rPr>
          <w:rFonts w:ascii="宋体" w:hAnsi="宋体" w:hint="eastAsia"/>
          <w:sz w:val="24"/>
        </w:rPr>
        <w:t>》（</w:t>
      </w:r>
      <w:r w:rsidR="007A37F0">
        <w:rPr>
          <w:rFonts w:ascii="宋体" w:hAnsi="宋体" w:hint="eastAsia"/>
          <w:sz w:val="24"/>
        </w:rPr>
        <w:t>MTC18-2026-03</w:t>
      </w:r>
      <w:r w:rsidR="007A37F0">
        <w:rPr>
          <w:rFonts w:ascii="宋体" w:hAnsi="宋体" w:hint="eastAsia"/>
          <w:sz w:val="24"/>
        </w:rPr>
        <w:t>）</w:t>
      </w:r>
      <w:r w:rsidR="007A37F0" w:rsidRPr="00B77D92">
        <w:rPr>
          <w:rFonts w:ascii="宋体" w:hAnsi="宋体"/>
          <w:sz w:val="24"/>
        </w:rPr>
        <w:t>的制定工作</w:t>
      </w:r>
      <w:r w:rsidR="007A37F0" w:rsidRPr="00B77D92">
        <w:rPr>
          <w:rFonts w:ascii="宋体" w:hAnsi="宋体" w:hint="eastAsia"/>
          <w:sz w:val="24"/>
        </w:rPr>
        <w:t>。</w:t>
      </w:r>
      <w:r w:rsidR="007A37F0" w:rsidRPr="00B77D92">
        <w:rPr>
          <w:rFonts w:ascii="宋体" w:hAnsi="宋体"/>
          <w:sz w:val="24"/>
        </w:rPr>
        <w:t>归口单位为</w:t>
      </w:r>
      <w:r w:rsidR="007A37F0" w:rsidRPr="00B77D92">
        <w:rPr>
          <w:rFonts w:ascii="宋体" w:hAnsi="宋体" w:hint="eastAsia"/>
          <w:sz w:val="24"/>
        </w:rPr>
        <w:t>全国电磁计量技术委员会</w:t>
      </w:r>
      <w:r w:rsidR="007A37F0">
        <w:rPr>
          <w:rFonts w:ascii="宋体" w:hAnsi="宋体" w:hint="eastAsia"/>
          <w:sz w:val="24"/>
        </w:rPr>
        <w:t>。</w:t>
      </w:r>
    </w:p>
    <w:p w14:paraId="54A9A947" w14:textId="77777777" w:rsidR="007A37F0" w:rsidRPr="00B77D92" w:rsidRDefault="007A37F0" w:rsidP="007A37F0">
      <w:pPr>
        <w:snapToGrid w:val="0"/>
        <w:spacing w:line="360" w:lineRule="auto"/>
        <w:ind w:firstLineChars="200" w:firstLine="480"/>
        <w:rPr>
          <w:rFonts w:ascii="宋体" w:hAnsi="宋体" w:hint="eastAsia"/>
          <w:sz w:val="24"/>
        </w:rPr>
      </w:pPr>
      <w:r w:rsidRPr="00B77D92">
        <w:rPr>
          <w:rFonts w:ascii="宋体" w:hAnsi="宋体" w:hint="eastAsia"/>
          <w:sz w:val="24"/>
        </w:rPr>
        <w:t>本规范是首次制定的国家计量</w:t>
      </w:r>
      <w:r>
        <w:rPr>
          <w:rFonts w:ascii="宋体" w:hAnsi="宋体" w:hint="eastAsia"/>
          <w:sz w:val="24"/>
        </w:rPr>
        <w:t>技术</w:t>
      </w:r>
      <w:r w:rsidRPr="00B77D92">
        <w:rPr>
          <w:rFonts w:ascii="宋体" w:hAnsi="宋体" w:hint="eastAsia"/>
          <w:sz w:val="24"/>
        </w:rPr>
        <w:t>规范。</w:t>
      </w:r>
    </w:p>
    <w:p w14:paraId="18F7DB62" w14:textId="77777777" w:rsidR="00486D69" w:rsidRPr="00B77D92" w:rsidRDefault="00486D69" w:rsidP="00486D69">
      <w:pPr>
        <w:snapToGrid w:val="0"/>
        <w:spacing w:line="360" w:lineRule="auto"/>
        <w:rPr>
          <w:rFonts w:ascii="宋体" w:hAnsi="宋体"/>
          <w:b/>
          <w:sz w:val="24"/>
        </w:rPr>
      </w:pPr>
      <w:r w:rsidRPr="00B77D92">
        <w:rPr>
          <w:rFonts w:ascii="宋体" w:hAnsi="宋体" w:hint="eastAsia"/>
          <w:b/>
          <w:sz w:val="24"/>
        </w:rPr>
        <w:t>二、采纳国际建议说明</w:t>
      </w:r>
    </w:p>
    <w:p w14:paraId="77A7F9CB" w14:textId="77777777" w:rsidR="00486D69" w:rsidRPr="00B77D92" w:rsidRDefault="00486D69" w:rsidP="00486D69">
      <w:pPr>
        <w:snapToGrid w:val="0"/>
        <w:spacing w:line="360" w:lineRule="auto"/>
        <w:ind w:firstLineChars="200" w:firstLine="480"/>
        <w:rPr>
          <w:rFonts w:ascii="宋体" w:hAnsi="宋体" w:hint="eastAsia"/>
          <w:sz w:val="24"/>
        </w:rPr>
      </w:pPr>
      <w:r w:rsidRPr="00B77D92">
        <w:rPr>
          <w:rFonts w:ascii="宋体" w:hAnsi="宋体" w:hint="eastAsia"/>
          <w:sz w:val="24"/>
        </w:rPr>
        <w:t>本规范未采用国际建议。</w:t>
      </w:r>
    </w:p>
    <w:p w14:paraId="0226CD9F" w14:textId="77777777" w:rsidR="00486D69" w:rsidRDefault="00486D69" w:rsidP="00486D69">
      <w:pPr>
        <w:snapToGrid w:val="0"/>
        <w:spacing w:line="360" w:lineRule="auto"/>
        <w:rPr>
          <w:rFonts w:ascii="宋体" w:hAnsi="宋体"/>
          <w:b/>
          <w:sz w:val="24"/>
        </w:rPr>
      </w:pPr>
      <w:r w:rsidRPr="00B77D92">
        <w:rPr>
          <w:rFonts w:ascii="宋体" w:hAnsi="宋体" w:hint="eastAsia"/>
          <w:b/>
          <w:sz w:val="24"/>
        </w:rPr>
        <w:t>三、</w:t>
      </w:r>
      <w:r w:rsidRPr="00B77D92">
        <w:rPr>
          <w:rFonts w:ascii="宋体" w:hAnsi="宋体"/>
          <w:b/>
          <w:sz w:val="24"/>
        </w:rPr>
        <w:t>目的意义</w:t>
      </w:r>
    </w:p>
    <w:p w14:paraId="6301C244" w14:textId="48688C06" w:rsidR="00B0756B" w:rsidRDefault="00B0756B" w:rsidP="00B0756B">
      <w:pPr>
        <w:snapToGrid w:val="0"/>
        <w:spacing w:line="360" w:lineRule="auto"/>
        <w:ind w:firstLine="488"/>
        <w:rPr>
          <w:rFonts w:ascii="宋体" w:hAnsi="宋体"/>
          <w:sz w:val="24"/>
        </w:rPr>
      </w:pPr>
      <w:r w:rsidRPr="00B0756B">
        <w:rPr>
          <w:rFonts w:ascii="宋体" w:hAnsi="宋体" w:hint="eastAsia"/>
          <w:sz w:val="24"/>
        </w:rPr>
        <w:t>电能表误差在线评估系统（以下简称误差在线评估系统）基于台区电能表拓扑结构和能量守恒方程，使用电能表在各时段的测量值序列，建立以电能表误差为变量的方程组，通过求解方程组，实现对</w:t>
      </w:r>
      <w:r>
        <w:rPr>
          <w:rFonts w:ascii="宋体" w:hAnsi="宋体" w:hint="eastAsia"/>
          <w:sz w:val="24"/>
        </w:rPr>
        <w:t>电能表误差的</w:t>
      </w:r>
      <w:r w:rsidRPr="00B0756B">
        <w:rPr>
          <w:rFonts w:ascii="宋体" w:hAnsi="宋体" w:hint="eastAsia"/>
          <w:sz w:val="24"/>
        </w:rPr>
        <w:t>在线评估。</w:t>
      </w:r>
    </w:p>
    <w:p w14:paraId="3EC3A067" w14:textId="4BA34B9E" w:rsidR="00B0756B" w:rsidRDefault="00B0756B" w:rsidP="00B0756B">
      <w:pPr>
        <w:snapToGrid w:val="0"/>
        <w:spacing w:line="360" w:lineRule="auto"/>
        <w:ind w:firstLine="488"/>
        <w:rPr>
          <w:rFonts w:ascii="宋体" w:hAnsi="宋体"/>
          <w:sz w:val="24"/>
        </w:rPr>
      </w:pPr>
      <w:r>
        <w:rPr>
          <w:rFonts w:ascii="宋体" w:hAnsi="宋体" w:hint="eastAsia"/>
          <w:sz w:val="24"/>
        </w:rPr>
        <w:t>该</w:t>
      </w:r>
      <w:r w:rsidRPr="00B0756B">
        <w:rPr>
          <w:rFonts w:ascii="宋体" w:hAnsi="宋体" w:hint="eastAsia"/>
          <w:sz w:val="24"/>
        </w:rPr>
        <w:t>方法广泛应用于对台区电能表持续不间断的误差监控，实现对失准电能表的有效识别，及支撑电能表检定周期的合理延长。目前国内各省电网公司均以使用误差在线评估系统</w:t>
      </w:r>
      <w:r>
        <w:rPr>
          <w:rFonts w:ascii="宋体" w:hAnsi="宋体" w:hint="eastAsia"/>
          <w:sz w:val="24"/>
        </w:rPr>
        <w:t>。</w:t>
      </w:r>
    </w:p>
    <w:p w14:paraId="4D49DDAE" w14:textId="1A7A50CD" w:rsidR="00B0756B" w:rsidRDefault="00B0756B" w:rsidP="00B0756B">
      <w:pPr>
        <w:snapToGrid w:val="0"/>
        <w:spacing w:line="360" w:lineRule="auto"/>
        <w:ind w:firstLine="488"/>
        <w:rPr>
          <w:rFonts w:ascii="宋体" w:hAnsi="宋体"/>
          <w:sz w:val="24"/>
        </w:rPr>
      </w:pPr>
      <w:r w:rsidRPr="00B0756B">
        <w:rPr>
          <w:rFonts w:ascii="宋体" w:hAnsi="宋体" w:hint="eastAsia"/>
          <w:sz w:val="24"/>
        </w:rPr>
        <w:t>误差在线评估系统用于对电能表进行在线</w:t>
      </w:r>
      <w:r>
        <w:rPr>
          <w:rFonts w:ascii="宋体" w:hAnsi="宋体" w:hint="eastAsia"/>
          <w:sz w:val="24"/>
        </w:rPr>
        <w:t>误差评估时</w:t>
      </w:r>
      <w:r w:rsidRPr="00B0756B">
        <w:rPr>
          <w:rFonts w:ascii="宋体" w:hAnsi="宋体" w:hint="eastAsia"/>
          <w:sz w:val="24"/>
        </w:rPr>
        <w:t>，其作用相当于一个计量标准器。</w:t>
      </w:r>
      <w:r>
        <w:rPr>
          <w:rFonts w:ascii="宋体" w:hAnsi="宋体" w:hint="eastAsia"/>
          <w:sz w:val="24"/>
        </w:rPr>
        <w:t>为了保证该计量标准器</w:t>
      </w:r>
      <w:r w:rsidR="00EA05B1">
        <w:rPr>
          <w:rFonts w:ascii="宋体" w:hAnsi="宋体" w:hint="eastAsia"/>
          <w:sz w:val="24"/>
        </w:rPr>
        <w:t>计量准确性，需要制定相应的技术规范</w:t>
      </w:r>
      <w:r w:rsidR="008C0F90">
        <w:rPr>
          <w:rFonts w:ascii="宋体" w:hAnsi="宋体" w:hint="eastAsia"/>
          <w:sz w:val="24"/>
        </w:rPr>
        <w:t>进行评价</w:t>
      </w:r>
      <w:r w:rsidR="00EA05B1">
        <w:rPr>
          <w:rFonts w:ascii="宋体" w:hAnsi="宋体" w:hint="eastAsia"/>
          <w:sz w:val="24"/>
        </w:rPr>
        <w:t>。</w:t>
      </w:r>
    </w:p>
    <w:p w14:paraId="6B46D177" w14:textId="2E4388A6" w:rsidR="007A37F0" w:rsidRDefault="00076D19" w:rsidP="00A05212">
      <w:pPr>
        <w:snapToGrid w:val="0"/>
        <w:spacing w:line="360" w:lineRule="auto"/>
        <w:ind w:firstLine="488"/>
        <w:rPr>
          <w:rFonts w:ascii="宋体" w:hAnsi="宋体"/>
          <w:sz w:val="24"/>
        </w:rPr>
      </w:pPr>
      <w:r>
        <w:rPr>
          <w:rFonts w:ascii="宋体" w:hAnsi="宋体" w:hint="eastAsia"/>
          <w:sz w:val="24"/>
        </w:rPr>
        <w:t>制定</w:t>
      </w:r>
      <w:r w:rsidR="00851EEF">
        <w:rPr>
          <w:rFonts w:ascii="宋体" w:hAnsi="宋体" w:hint="eastAsia"/>
          <w:sz w:val="24"/>
        </w:rPr>
        <w:t>本</w:t>
      </w:r>
      <w:r>
        <w:rPr>
          <w:rFonts w:ascii="宋体" w:hAnsi="宋体" w:hint="eastAsia"/>
          <w:sz w:val="24"/>
        </w:rPr>
        <w:t>规范</w:t>
      </w:r>
      <w:r w:rsidR="00851EEF">
        <w:rPr>
          <w:rFonts w:ascii="宋体" w:hAnsi="宋体" w:hint="eastAsia"/>
          <w:sz w:val="24"/>
        </w:rPr>
        <w:t>对于保证</w:t>
      </w:r>
      <w:r w:rsidR="00851EEF" w:rsidRPr="00B0756B">
        <w:rPr>
          <w:rFonts w:ascii="宋体" w:hAnsi="宋体" w:hint="eastAsia"/>
          <w:sz w:val="24"/>
        </w:rPr>
        <w:t>线评估系统</w:t>
      </w:r>
      <w:r w:rsidR="00851EEF">
        <w:rPr>
          <w:rFonts w:ascii="宋体" w:hAnsi="宋体" w:hint="eastAsia"/>
          <w:sz w:val="24"/>
        </w:rPr>
        <w:t>的计量准确性</w:t>
      </w:r>
      <w:r w:rsidR="00A05212">
        <w:rPr>
          <w:rFonts w:ascii="宋体" w:hAnsi="宋体" w:hint="eastAsia"/>
          <w:sz w:val="24"/>
        </w:rPr>
        <w:t>，推动其实际应用及发挥其有效价值，</w:t>
      </w:r>
      <w:r w:rsidR="00345DFA">
        <w:rPr>
          <w:rFonts w:ascii="宋体" w:hAnsi="宋体" w:hint="eastAsia"/>
          <w:sz w:val="24"/>
        </w:rPr>
        <w:t>并</w:t>
      </w:r>
      <w:r w:rsidR="00A05212">
        <w:rPr>
          <w:rFonts w:ascii="宋体" w:hAnsi="宋体" w:hint="eastAsia"/>
          <w:sz w:val="24"/>
        </w:rPr>
        <w:t>将</w:t>
      </w:r>
      <w:r w:rsidR="00A05212" w:rsidRPr="00B0756B">
        <w:rPr>
          <w:rFonts w:ascii="宋体" w:hAnsi="宋体" w:hint="eastAsia"/>
          <w:sz w:val="24"/>
        </w:rPr>
        <w:t>误差在线评估系统</w:t>
      </w:r>
      <w:r w:rsidR="00A05212">
        <w:rPr>
          <w:rFonts w:ascii="宋体" w:hAnsi="宋体" w:hint="eastAsia"/>
          <w:sz w:val="24"/>
        </w:rPr>
        <w:t>纳入规范计量管理</w:t>
      </w:r>
      <w:r w:rsidR="00345DFA">
        <w:rPr>
          <w:rFonts w:ascii="宋体" w:hAnsi="宋体" w:hint="eastAsia"/>
          <w:sz w:val="24"/>
        </w:rPr>
        <w:t>范围具有重要意义。</w:t>
      </w:r>
    </w:p>
    <w:p w14:paraId="285424EE" w14:textId="29EE22C4" w:rsidR="00486D69" w:rsidRPr="00B77D92" w:rsidRDefault="00486D69" w:rsidP="00486D69">
      <w:pPr>
        <w:snapToGrid w:val="0"/>
        <w:spacing w:line="360" w:lineRule="auto"/>
        <w:rPr>
          <w:rFonts w:ascii="宋体" w:hAnsi="宋体" w:hint="eastAsia"/>
          <w:b/>
          <w:sz w:val="24"/>
        </w:rPr>
      </w:pPr>
      <w:r w:rsidRPr="00B77D92">
        <w:rPr>
          <w:rFonts w:ascii="宋体" w:hAnsi="宋体" w:hint="eastAsia"/>
          <w:b/>
          <w:sz w:val="24"/>
        </w:rPr>
        <w:t>四、编制思路和原则</w:t>
      </w:r>
    </w:p>
    <w:p w14:paraId="3F197562" w14:textId="77777777" w:rsidR="00486D69" w:rsidRPr="00B77D92" w:rsidRDefault="00486D69" w:rsidP="00486D69">
      <w:pPr>
        <w:snapToGrid w:val="0"/>
        <w:spacing w:line="360" w:lineRule="auto"/>
        <w:rPr>
          <w:rFonts w:ascii="宋体" w:hAnsi="宋体"/>
          <w:b/>
          <w:sz w:val="24"/>
        </w:rPr>
      </w:pPr>
      <w:r w:rsidRPr="00B77D92">
        <w:rPr>
          <w:rFonts w:ascii="宋体" w:hAnsi="宋体" w:hint="eastAsia"/>
          <w:b/>
          <w:sz w:val="24"/>
        </w:rPr>
        <w:t>（一）编制思路</w:t>
      </w:r>
    </w:p>
    <w:p w14:paraId="126DC8B0" w14:textId="046FD8C7" w:rsidR="0033235F" w:rsidRDefault="0033235F" w:rsidP="0033235F">
      <w:pPr>
        <w:snapToGrid w:val="0"/>
        <w:spacing w:line="360" w:lineRule="auto"/>
        <w:ind w:firstLineChars="200" w:firstLine="480"/>
        <w:rPr>
          <w:rFonts w:ascii="宋体" w:hAnsi="宋体"/>
          <w:sz w:val="24"/>
        </w:rPr>
      </w:pPr>
      <w:r>
        <w:rPr>
          <w:rFonts w:ascii="宋体" w:hAnsi="宋体" w:hint="eastAsia"/>
          <w:sz w:val="24"/>
        </w:rPr>
        <w:t>本规范从</w:t>
      </w:r>
      <w:r w:rsidRPr="00B0756B">
        <w:rPr>
          <w:rFonts w:ascii="宋体" w:hAnsi="宋体" w:hint="eastAsia"/>
          <w:sz w:val="24"/>
        </w:rPr>
        <w:t>误差在线评估系统</w:t>
      </w:r>
      <w:r>
        <w:rPr>
          <w:rFonts w:ascii="宋体" w:hAnsi="宋体" w:hint="eastAsia"/>
          <w:sz w:val="24"/>
        </w:rPr>
        <w:t>的工作原理、</w:t>
      </w:r>
      <w:r w:rsidRPr="00B77D92">
        <w:rPr>
          <w:rFonts w:ascii="宋体" w:hAnsi="宋体" w:hint="eastAsia"/>
          <w:sz w:val="24"/>
        </w:rPr>
        <w:t>技术特点、应用场景出发</w:t>
      </w:r>
      <w:r>
        <w:rPr>
          <w:rFonts w:ascii="宋体" w:hAnsi="宋体" w:hint="eastAsia"/>
          <w:sz w:val="24"/>
        </w:rPr>
        <w:t>，考虑到</w:t>
      </w:r>
      <w:r w:rsidRPr="00B0756B">
        <w:rPr>
          <w:rFonts w:ascii="宋体" w:hAnsi="宋体" w:hint="eastAsia"/>
          <w:sz w:val="24"/>
        </w:rPr>
        <w:t>误差在线评估系统</w:t>
      </w:r>
      <w:r>
        <w:rPr>
          <w:rFonts w:ascii="宋体" w:hAnsi="宋体" w:hint="eastAsia"/>
          <w:sz w:val="24"/>
        </w:rPr>
        <w:t>的</w:t>
      </w:r>
      <w:r>
        <w:rPr>
          <w:rFonts w:ascii="宋体" w:hAnsi="宋体" w:hint="eastAsia"/>
          <w:sz w:val="24"/>
        </w:rPr>
        <w:t>用途和目的，</w:t>
      </w:r>
      <w:r w:rsidRPr="00B77D92">
        <w:rPr>
          <w:rFonts w:ascii="宋体" w:hAnsi="宋体" w:hint="eastAsia"/>
          <w:sz w:val="24"/>
        </w:rPr>
        <w:t>本着科学、务实的原则，提出了一种科学、合理、可操作性强的</w:t>
      </w:r>
      <w:r>
        <w:rPr>
          <w:rFonts w:ascii="宋体" w:hAnsi="宋体" w:hint="eastAsia"/>
          <w:sz w:val="24"/>
        </w:rPr>
        <w:t>评价方法</w:t>
      </w:r>
      <w:r w:rsidRPr="00B77D92">
        <w:rPr>
          <w:rFonts w:ascii="宋体" w:hAnsi="宋体" w:hint="eastAsia"/>
          <w:sz w:val="24"/>
        </w:rPr>
        <w:t>。</w:t>
      </w:r>
    </w:p>
    <w:p w14:paraId="44F6F459" w14:textId="3F49CD32" w:rsidR="006D4E26" w:rsidRDefault="006D4E26" w:rsidP="005836A7">
      <w:pPr>
        <w:snapToGrid w:val="0"/>
        <w:spacing w:line="360" w:lineRule="auto"/>
        <w:ind w:firstLineChars="200" w:firstLine="480"/>
        <w:rPr>
          <w:rFonts w:ascii="宋体" w:hAnsi="宋体"/>
          <w:sz w:val="24"/>
        </w:rPr>
      </w:pPr>
      <w:bookmarkStart w:id="0" w:name="_Hlk236999078"/>
      <w:r w:rsidRPr="00B0756B">
        <w:rPr>
          <w:rFonts w:ascii="宋体" w:hAnsi="宋体" w:hint="eastAsia"/>
          <w:sz w:val="24"/>
        </w:rPr>
        <w:t>误差在线评估系统</w:t>
      </w:r>
      <w:bookmarkEnd w:id="0"/>
      <w:r>
        <w:rPr>
          <w:rFonts w:ascii="宋体" w:hAnsi="宋体" w:hint="eastAsia"/>
          <w:sz w:val="24"/>
        </w:rPr>
        <w:t>接收</w:t>
      </w:r>
      <w:r w:rsidRPr="006D4E26">
        <w:rPr>
          <w:rFonts w:ascii="宋体" w:hAnsi="宋体" w:hint="eastAsia"/>
          <w:sz w:val="24"/>
        </w:rPr>
        <w:t>电能表运行数据，计算电能表运行误差。</w:t>
      </w:r>
      <w:r>
        <w:rPr>
          <w:rFonts w:ascii="宋体" w:hAnsi="宋体" w:hint="eastAsia"/>
          <w:sz w:val="24"/>
        </w:rPr>
        <w:t>为了全面评</w:t>
      </w:r>
      <w:r>
        <w:rPr>
          <w:rFonts w:ascii="宋体" w:hAnsi="宋体" w:hint="eastAsia"/>
          <w:sz w:val="24"/>
        </w:rPr>
        <w:lastRenderedPageBreak/>
        <w:t>价</w:t>
      </w:r>
      <w:r w:rsidRPr="00B0756B">
        <w:rPr>
          <w:rFonts w:ascii="宋体" w:hAnsi="宋体" w:hint="eastAsia"/>
          <w:sz w:val="24"/>
        </w:rPr>
        <w:t>误差在线评估系统</w:t>
      </w:r>
      <w:r>
        <w:rPr>
          <w:rFonts w:ascii="宋体" w:hAnsi="宋体" w:hint="eastAsia"/>
          <w:sz w:val="24"/>
        </w:rPr>
        <w:t>在各种应用场景下</w:t>
      </w:r>
      <w:r>
        <w:rPr>
          <w:rFonts w:hint="eastAsia"/>
          <w:kern w:val="0"/>
          <w:sz w:val="24"/>
          <w:szCs w:val="22"/>
        </w:rPr>
        <w:t>、各种电能表误差情形下</w:t>
      </w:r>
      <w:r w:rsidRPr="00B0756B">
        <w:rPr>
          <w:rFonts w:ascii="宋体" w:hAnsi="宋体" w:hint="eastAsia"/>
          <w:sz w:val="24"/>
        </w:rPr>
        <w:t>误差在线评估系统</w:t>
      </w:r>
      <w:r>
        <w:rPr>
          <w:rFonts w:ascii="宋体" w:hAnsi="宋体" w:hint="eastAsia"/>
          <w:sz w:val="24"/>
        </w:rPr>
        <w:t>的计量性能</w:t>
      </w:r>
      <w:r w:rsidR="005836A7">
        <w:rPr>
          <w:rFonts w:ascii="宋体" w:hAnsi="宋体" w:hint="eastAsia"/>
          <w:sz w:val="24"/>
        </w:rPr>
        <w:t>和超差判别能力</w:t>
      </w:r>
      <w:r>
        <w:rPr>
          <w:rFonts w:ascii="宋体" w:hAnsi="宋体" w:hint="eastAsia"/>
          <w:sz w:val="24"/>
        </w:rPr>
        <w:t>，本规范</w:t>
      </w:r>
      <w:r w:rsidR="001C4028">
        <w:rPr>
          <w:rFonts w:ascii="宋体" w:hAnsi="宋体" w:hint="eastAsia"/>
          <w:sz w:val="24"/>
        </w:rPr>
        <w:t>采用基于</w:t>
      </w:r>
      <w:r>
        <w:rPr>
          <w:rFonts w:ascii="宋体" w:hAnsi="宋体" w:hint="eastAsia"/>
          <w:sz w:val="24"/>
        </w:rPr>
        <w:t>标准</w:t>
      </w:r>
      <w:r w:rsidR="00A944BF">
        <w:rPr>
          <w:rFonts w:ascii="宋体" w:hAnsi="宋体" w:hint="eastAsia"/>
          <w:sz w:val="24"/>
        </w:rPr>
        <w:t>数据集</w:t>
      </w:r>
      <w:r w:rsidR="001C4028">
        <w:rPr>
          <w:rFonts w:ascii="宋体" w:hAnsi="宋体" w:hint="eastAsia"/>
          <w:sz w:val="24"/>
        </w:rPr>
        <w:t>的</w:t>
      </w:r>
      <w:r>
        <w:rPr>
          <w:rFonts w:ascii="宋体" w:hAnsi="宋体" w:hint="eastAsia"/>
          <w:sz w:val="24"/>
        </w:rPr>
        <w:t>评价</w:t>
      </w:r>
      <w:r w:rsidR="001C4028">
        <w:rPr>
          <w:rFonts w:ascii="宋体" w:hAnsi="宋体" w:hint="eastAsia"/>
          <w:sz w:val="24"/>
        </w:rPr>
        <w:t>方式</w:t>
      </w:r>
      <w:r w:rsidR="005836A7">
        <w:rPr>
          <w:rFonts w:ascii="宋体" w:hAnsi="宋体" w:hint="eastAsia"/>
          <w:sz w:val="24"/>
        </w:rPr>
        <w:t>，关注</w:t>
      </w:r>
      <w:r w:rsidR="005836A7" w:rsidRPr="005836A7">
        <w:rPr>
          <w:rFonts w:ascii="宋体" w:hAnsi="宋体" w:hint="eastAsia"/>
          <w:sz w:val="24"/>
        </w:rPr>
        <w:t>均方根误差</w:t>
      </w:r>
      <w:r w:rsidR="005836A7">
        <w:rPr>
          <w:rFonts w:ascii="宋体" w:hAnsi="宋体" w:hint="eastAsia"/>
          <w:sz w:val="24"/>
        </w:rPr>
        <w:t>、</w:t>
      </w:r>
      <w:r w:rsidR="005836A7" w:rsidRPr="005836A7">
        <w:rPr>
          <w:rFonts w:ascii="宋体" w:hAnsi="宋体" w:hint="eastAsia"/>
          <w:sz w:val="24"/>
        </w:rPr>
        <w:t>超差识别率和误判率</w:t>
      </w:r>
      <w:r w:rsidR="005836A7">
        <w:rPr>
          <w:rFonts w:ascii="宋体" w:hAnsi="宋体" w:hint="eastAsia"/>
          <w:sz w:val="24"/>
        </w:rPr>
        <w:t>指标。</w:t>
      </w:r>
    </w:p>
    <w:p w14:paraId="5E39CB52" w14:textId="306788E0" w:rsidR="00347EFF" w:rsidRDefault="00347EFF" w:rsidP="005836A7">
      <w:pPr>
        <w:snapToGrid w:val="0"/>
        <w:spacing w:line="360" w:lineRule="auto"/>
        <w:ind w:firstLineChars="200" w:firstLine="480"/>
        <w:rPr>
          <w:rFonts w:ascii="宋体" w:hAnsi="宋体" w:hint="eastAsia"/>
          <w:sz w:val="24"/>
        </w:rPr>
      </w:pPr>
      <w:r>
        <w:rPr>
          <w:rFonts w:ascii="宋体" w:hAnsi="宋体" w:hint="eastAsia"/>
          <w:sz w:val="24"/>
        </w:rPr>
        <w:t>（1）标准数据集</w:t>
      </w:r>
    </w:p>
    <w:p w14:paraId="000E339C" w14:textId="4201D2BA" w:rsidR="004A4BFA" w:rsidRDefault="00A944BF" w:rsidP="006D4E26">
      <w:pPr>
        <w:snapToGrid w:val="0"/>
        <w:spacing w:line="360" w:lineRule="auto"/>
        <w:ind w:firstLineChars="200" w:firstLine="480"/>
        <w:rPr>
          <w:rFonts w:ascii="宋体" w:hAnsi="宋体"/>
          <w:sz w:val="24"/>
        </w:rPr>
      </w:pPr>
      <w:r>
        <w:rPr>
          <w:rFonts w:ascii="宋体" w:hAnsi="宋体" w:hint="eastAsia"/>
          <w:sz w:val="24"/>
        </w:rPr>
        <w:t>具体实践时，本规范使用标准数据集</w:t>
      </w:r>
      <w:r w:rsidR="004A4BFA">
        <w:rPr>
          <w:rFonts w:ascii="宋体" w:hAnsi="宋体" w:hint="eastAsia"/>
          <w:sz w:val="24"/>
        </w:rPr>
        <w:t>-标准数据组-标准测试数据三层结构</w:t>
      </w:r>
      <w:r>
        <w:rPr>
          <w:rFonts w:ascii="宋体" w:hAnsi="宋体" w:hint="eastAsia"/>
          <w:sz w:val="24"/>
        </w:rPr>
        <w:t>。</w:t>
      </w:r>
    </w:p>
    <w:p w14:paraId="7E27D14E" w14:textId="14E55156" w:rsidR="0033235F" w:rsidRPr="0033235F" w:rsidRDefault="004A4BFA" w:rsidP="006D4E26">
      <w:pPr>
        <w:snapToGrid w:val="0"/>
        <w:spacing w:line="360" w:lineRule="auto"/>
        <w:ind w:firstLineChars="200" w:firstLine="480"/>
        <w:rPr>
          <w:rFonts w:ascii="宋体" w:hAnsi="宋体" w:hint="eastAsia"/>
          <w:sz w:val="24"/>
        </w:rPr>
      </w:pPr>
      <w:r>
        <w:rPr>
          <w:rFonts w:ascii="宋体" w:hAnsi="宋体" w:hint="eastAsia"/>
          <w:sz w:val="24"/>
        </w:rPr>
        <w:t>标准测试数据</w:t>
      </w:r>
      <w:r w:rsidR="00A944BF">
        <w:rPr>
          <w:rFonts w:ascii="宋体" w:hAnsi="宋体" w:hint="eastAsia"/>
          <w:sz w:val="24"/>
        </w:rPr>
        <w:t>是</w:t>
      </w:r>
      <w:r w:rsidR="001C4028">
        <w:rPr>
          <w:rFonts w:ascii="宋体" w:hAnsi="宋体" w:hint="eastAsia"/>
          <w:sz w:val="24"/>
        </w:rPr>
        <w:t>评价使用的</w:t>
      </w:r>
      <w:r w:rsidR="00A944BF">
        <w:rPr>
          <w:rFonts w:ascii="宋体" w:hAnsi="宋体" w:hint="eastAsia"/>
          <w:sz w:val="24"/>
        </w:rPr>
        <w:t>基本元素</w:t>
      </w:r>
      <w:r w:rsidR="001C4028">
        <w:rPr>
          <w:rFonts w:ascii="宋体" w:hAnsi="宋体" w:hint="eastAsia"/>
          <w:sz w:val="24"/>
        </w:rPr>
        <w:t>，使用一个</w:t>
      </w:r>
      <w:r w:rsidR="001C4028">
        <w:rPr>
          <w:rFonts w:ascii="宋体" w:hAnsi="宋体" w:hint="eastAsia"/>
          <w:sz w:val="24"/>
        </w:rPr>
        <w:t>标准测试数据</w:t>
      </w:r>
      <w:r w:rsidR="001C4028">
        <w:rPr>
          <w:rFonts w:ascii="宋体" w:hAnsi="宋体" w:hint="eastAsia"/>
          <w:sz w:val="24"/>
        </w:rPr>
        <w:t>可对</w:t>
      </w:r>
      <w:r w:rsidR="001C4028" w:rsidRPr="00B0756B">
        <w:rPr>
          <w:rFonts w:ascii="宋体" w:hAnsi="宋体" w:hint="eastAsia"/>
          <w:sz w:val="24"/>
        </w:rPr>
        <w:t>误差在线评估系统</w:t>
      </w:r>
      <w:r w:rsidR="001C4028">
        <w:rPr>
          <w:rFonts w:ascii="宋体" w:hAnsi="宋体" w:hint="eastAsia"/>
          <w:sz w:val="24"/>
        </w:rPr>
        <w:t>进行一次测试。</w:t>
      </w:r>
      <w:r w:rsidR="006D4E26">
        <w:rPr>
          <w:rFonts w:ascii="宋体" w:hAnsi="宋体" w:hint="eastAsia"/>
          <w:sz w:val="24"/>
        </w:rPr>
        <w:t>标准测试数据集</w:t>
      </w:r>
      <w:r w:rsidR="006D4E26" w:rsidRPr="006D4E26">
        <w:rPr>
          <w:rFonts w:ascii="宋体" w:hAnsi="宋体" w:hint="eastAsia"/>
          <w:sz w:val="24"/>
        </w:rPr>
        <w:t>由仿真方法生成的台区电能表运行数据，可以反映应用场景的特性，并且各个电能表误差具有理论设定值。将标准测试数据输入到电能表误差在线评估系统，比较其输出的电能表运行误差估计值与理论设定值，实现对误差在线评估系统计量性能的评价。</w:t>
      </w:r>
    </w:p>
    <w:p w14:paraId="295CB1C8" w14:textId="28D28060" w:rsidR="001C4028" w:rsidRDefault="00633B5F" w:rsidP="001C4028">
      <w:pPr>
        <w:snapToGrid w:val="0"/>
        <w:spacing w:line="360" w:lineRule="auto"/>
        <w:ind w:firstLineChars="200" w:firstLine="480"/>
        <w:rPr>
          <w:rFonts w:ascii="宋体" w:hAnsi="宋体"/>
          <w:sz w:val="24"/>
        </w:rPr>
      </w:pPr>
      <w:r>
        <w:rPr>
          <w:rFonts w:hint="eastAsia"/>
          <w:sz w:val="24"/>
        </w:rPr>
        <w:t>一个</w:t>
      </w:r>
      <w:r w:rsidR="001C4028">
        <w:rPr>
          <w:sz w:val="24"/>
        </w:rPr>
        <w:t>标准数据组由多个标准测试数据组成，其中每个标准测试数据具有相同的应用场景，但有不同的误差理论设定值。</w:t>
      </w:r>
      <w:r w:rsidR="001C4028">
        <w:rPr>
          <w:rFonts w:hint="eastAsia"/>
          <w:sz w:val="24"/>
        </w:rPr>
        <w:t>其目的是在同一应用场景下对</w:t>
      </w:r>
      <w:r w:rsidR="009133E1">
        <w:rPr>
          <w:rFonts w:hint="eastAsia"/>
          <w:sz w:val="24"/>
        </w:rPr>
        <w:t>误差</w:t>
      </w:r>
      <w:r w:rsidR="001C4028" w:rsidRPr="00B0756B">
        <w:rPr>
          <w:rFonts w:ascii="宋体" w:hAnsi="宋体" w:hint="eastAsia"/>
          <w:sz w:val="24"/>
        </w:rPr>
        <w:t>在线评估系统</w:t>
      </w:r>
      <w:r w:rsidR="001C4028">
        <w:rPr>
          <w:rFonts w:ascii="宋体" w:hAnsi="宋体" w:hint="eastAsia"/>
          <w:sz w:val="24"/>
        </w:rPr>
        <w:t>进行多次测试。</w:t>
      </w:r>
    </w:p>
    <w:p w14:paraId="12045B95" w14:textId="7C846E66" w:rsidR="00633B5F" w:rsidRPr="00633B5F" w:rsidRDefault="00633B5F" w:rsidP="00633B5F">
      <w:pPr>
        <w:snapToGrid w:val="0"/>
        <w:spacing w:line="360" w:lineRule="auto"/>
        <w:ind w:firstLineChars="200" w:firstLine="480"/>
        <w:rPr>
          <w:sz w:val="24"/>
        </w:rPr>
      </w:pPr>
      <w:r>
        <w:rPr>
          <w:sz w:val="24"/>
        </w:rPr>
        <w:t>一个标准数据集由多个标准数据组组成，其中的每个标准数据组具有不同的应用场景。</w:t>
      </w:r>
      <w:r>
        <w:rPr>
          <w:rFonts w:hint="eastAsia"/>
          <w:sz w:val="24"/>
        </w:rPr>
        <w:t>其目的是对</w:t>
      </w:r>
      <w:r w:rsidR="009133E1">
        <w:rPr>
          <w:rFonts w:hint="eastAsia"/>
          <w:sz w:val="24"/>
        </w:rPr>
        <w:t>误差</w:t>
      </w:r>
      <w:r w:rsidR="009133E1" w:rsidRPr="00B0756B">
        <w:rPr>
          <w:rFonts w:ascii="宋体" w:hAnsi="宋体" w:hint="eastAsia"/>
          <w:sz w:val="24"/>
        </w:rPr>
        <w:t>在线评估系统</w:t>
      </w:r>
      <w:r w:rsidR="009133E1">
        <w:rPr>
          <w:rFonts w:ascii="宋体" w:hAnsi="宋体" w:hint="eastAsia"/>
          <w:sz w:val="24"/>
        </w:rPr>
        <w:t>进行多场景测试。</w:t>
      </w:r>
    </w:p>
    <w:p w14:paraId="4605E0CA" w14:textId="6585B448" w:rsidR="001C4028" w:rsidRPr="00633B5F" w:rsidRDefault="00E733A5" w:rsidP="001C4028">
      <w:pPr>
        <w:snapToGrid w:val="0"/>
        <w:spacing w:line="360" w:lineRule="auto"/>
        <w:ind w:firstLineChars="200" w:firstLine="480"/>
        <w:rPr>
          <w:rFonts w:hint="eastAsia"/>
          <w:sz w:val="24"/>
        </w:rPr>
      </w:pPr>
      <w:r>
        <w:rPr>
          <w:rFonts w:hint="eastAsia"/>
          <w:sz w:val="24"/>
        </w:rPr>
        <w:t>（</w:t>
      </w:r>
      <w:r>
        <w:rPr>
          <w:rFonts w:hint="eastAsia"/>
          <w:sz w:val="24"/>
        </w:rPr>
        <w:t>2</w:t>
      </w:r>
      <w:r>
        <w:rPr>
          <w:rFonts w:hint="eastAsia"/>
          <w:sz w:val="24"/>
        </w:rPr>
        <w:t>）</w:t>
      </w:r>
      <w:r w:rsidR="00F034BA" w:rsidRPr="005836A7">
        <w:rPr>
          <w:rFonts w:ascii="宋体" w:hAnsi="宋体" w:hint="eastAsia"/>
          <w:sz w:val="24"/>
        </w:rPr>
        <w:t>均方根误差</w:t>
      </w:r>
      <w:r w:rsidR="00F034BA">
        <w:rPr>
          <w:rFonts w:ascii="宋体" w:hAnsi="宋体" w:hint="eastAsia"/>
          <w:sz w:val="24"/>
        </w:rPr>
        <w:t>、</w:t>
      </w:r>
      <w:r w:rsidR="00F034BA" w:rsidRPr="005836A7">
        <w:rPr>
          <w:rFonts w:ascii="宋体" w:hAnsi="宋体" w:hint="eastAsia"/>
          <w:sz w:val="24"/>
        </w:rPr>
        <w:t>超差识别率和误判率</w:t>
      </w:r>
      <w:r w:rsidR="00F034BA">
        <w:rPr>
          <w:rFonts w:ascii="宋体" w:hAnsi="宋体" w:hint="eastAsia"/>
          <w:sz w:val="24"/>
        </w:rPr>
        <w:t>指标</w:t>
      </w:r>
    </w:p>
    <w:p w14:paraId="678C63C8" w14:textId="272A5C48" w:rsidR="00772E11" w:rsidRDefault="00772E11" w:rsidP="00486D69">
      <w:pPr>
        <w:snapToGrid w:val="0"/>
        <w:spacing w:line="360" w:lineRule="auto"/>
        <w:ind w:firstLineChars="200" w:firstLine="480"/>
        <w:rPr>
          <w:sz w:val="24"/>
        </w:rPr>
      </w:pPr>
      <w:r>
        <w:rPr>
          <w:rFonts w:hint="eastAsia"/>
          <w:sz w:val="24"/>
        </w:rPr>
        <w:t>1</w:t>
      </w:r>
      <w:r>
        <w:rPr>
          <w:rFonts w:hint="eastAsia"/>
          <w:sz w:val="24"/>
        </w:rPr>
        <w:t>）</w:t>
      </w:r>
      <w:bookmarkStart w:id="1" w:name="_Hlk237006686"/>
      <w:r>
        <w:rPr>
          <w:sz w:val="24"/>
        </w:rPr>
        <w:t>均方根误差</w:t>
      </w:r>
    </w:p>
    <w:p w14:paraId="0874C93A" w14:textId="558EEFA5" w:rsidR="006D4E26" w:rsidRPr="00195C95" w:rsidRDefault="00195C95" w:rsidP="00486D69">
      <w:pPr>
        <w:snapToGrid w:val="0"/>
        <w:spacing w:line="360" w:lineRule="auto"/>
        <w:ind w:firstLineChars="200" w:firstLine="480"/>
        <w:rPr>
          <w:rFonts w:ascii="宋体" w:hAnsi="宋体" w:hint="eastAsia"/>
          <w:sz w:val="24"/>
        </w:rPr>
      </w:pPr>
      <w:r>
        <w:rPr>
          <w:sz w:val="24"/>
        </w:rPr>
        <w:t>均方根误差反映在误差在线评估</w:t>
      </w:r>
      <w:r>
        <w:rPr>
          <w:rFonts w:hint="eastAsia"/>
          <w:sz w:val="24"/>
        </w:rPr>
        <w:t>系统</w:t>
      </w:r>
      <w:r>
        <w:rPr>
          <w:sz w:val="24"/>
        </w:rPr>
        <w:t>在某个应用场景上整体的误差计算偏差</w:t>
      </w:r>
      <w:r w:rsidR="00876FD4">
        <w:rPr>
          <w:rFonts w:hint="eastAsia"/>
          <w:sz w:val="24"/>
        </w:rPr>
        <w:t>，是误差计算准确度的反映。</w:t>
      </w:r>
    </w:p>
    <w:p w14:paraId="1B2D0939" w14:textId="08F35152" w:rsidR="00772E11" w:rsidRDefault="00772E11" w:rsidP="00772E11">
      <w:pPr>
        <w:pStyle w:val="074"/>
        <w:snapToGrid w:val="0"/>
        <w:spacing w:line="360" w:lineRule="auto"/>
        <w:ind w:firstLineChars="200" w:firstLine="480"/>
        <w:rPr>
          <w:rFonts w:cs="Times New Roman"/>
          <w:sz w:val="24"/>
          <w:szCs w:val="24"/>
        </w:rPr>
      </w:pPr>
      <w:r>
        <w:rPr>
          <w:rFonts w:cs="Times New Roman" w:hint="eastAsia"/>
          <w:sz w:val="24"/>
          <w:szCs w:val="24"/>
        </w:rPr>
        <w:t>2</w:t>
      </w:r>
      <w:r>
        <w:rPr>
          <w:rFonts w:cs="Times New Roman" w:hint="eastAsia"/>
          <w:sz w:val="24"/>
          <w:szCs w:val="24"/>
        </w:rPr>
        <w:t>）</w:t>
      </w:r>
      <w:r w:rsidRPr="005836A7">
        <w:rPr>
          <w:rFonts w:ascii="宋体" w:hAnsi="宋体" w:hint="eastAsia"/>
          <w:sz w:val="24"/>
        </w:rPr>
        <w:t>超差识别率和误判率</w:t>
      </w:r>
    </w:p>
    <w:bookmarkEnd w:id="1"/>
    <w:p w14:paraId="02F5D422" w14:textId="1F22F566" w:rsidR="00772E11" w:rsidRDefault="00296BAF" w:rsidP="00772E11">
      <w:pPr>
        <w:pStyle w:val="074"/>
        <w:snapToGrid w:val="0"/>
        <w:spacing w:line="360" w:lineRule="auto"/>
        <w:ind w:firstLineChars="200" w:firstLine="480"/>
        <w:rPr>
          <w:rFonts w:cs="Times New Roman"/>
          <w:sz w:val="24"/>
          <w:szCs w:val="24"/>
        </w:rPr>
      </w:pPr>
      <w:r>
        <w:rPr>
          <w:rFonts w:cs="Times New Roman"/>
          <w:sz w:val="24"/>
          <w:szCs w:val="24"/>
        </w:rPr>
        <w:t>超差识别率反映误差在线评估系统对于误差超过给定限值的电能表的识别能力</w:t>
      </w:r>
      <w:r w:rsidR="00370392">
        <w:rPr>
          <w:rFonts w:hint="eastAsia"/>
          <w:sz w:val="24"/>
        </w:rPr>
        <w:t>，超差电能表</w:t>
      </w:r>
      <w:r w:rsidR="00BC3292">
        <w:rPr>
          <w:rFonts w:hint="eastAsia"/>
          <w:sz w:val="24"/>
        </w:rPr>
        <w:t>的识别</w:t>
      </w:r>
      <w:r w:rsidR="009C1910">
        <w:rPr>
          <w:rFonts w:hint="eastAsia"/>
          <w:sz w:val="24"/>
        </w:rPr>
        <w:t>是</w:t>
      </w:r>
      <w:r w:rsidR="009C1910">
        <w:rPr>
          <w:rFonts w:cs="Times New Roman"/>
          <w:sz w:val="24"/>
          <w:szCs w:val="24"/>
        </w:rPr>
        <w:t>误差在线评估系统</w:t>
      </w:r>
      <w:r w:rsidR="009C1910">
        <w:rPr>
          <w:rFonts w:hint="eastAsia"/>
          <w:sz w:val="24"/>
        </w:rPr>
        <w:t>的首要任务。</w:t>
      </w:r>
      <w:r w:rsidR="00772E11">
        <w:rPr>
          <w:rFonts w:cs="Times New Roman" w:hint="eastAsia"/>
          <w:sz w:val="24"/>
          <w:szCs w:val="24"/>
        </w:rPr>
        <w:t>因此需要</w:t>
      </w:r>
      <w:r w:rsidR="00772E11">
        <w:rPr>
          <w:rFonts w:cs="Times New Roman" w:hint="eastAsia"/>
          <w:sz w:val="24"/>
          <w:szCs w:val="24"/>
        </w:rPr>
        <w:t>保证</w:t>
      </w:r>
      <w:r w:rsidR="00772E11">
        <w:rPr>
          <w:rFonts w:cs="Times New Roman"/>
          <w:sz w:val="24"/>
          <w:szCs w:val="24"/>
        </w:rPr>
        <w:t>误差在线评估系统</w:t>
      </w:r>
      <w:r w:rsidR="00772E11">
        <w:rPr>
          <w:rFonts w:cs="Times New Roman" w:hint="eastAsia"/>
          <w:sz w:val="24"/>
          <w:szCs w:val="24"/>
        </w:rPr>
        <w:t>的</w:t>
      </w:r>
      <w:r w:rsidR="00772E11">
        <w:rPr>
          <w:rFonts w:cs="Times New Roman" w:hint="eastAsia"/>
          <w:sz w:val="24"/>
          <w:szCs w:val="24"/>
        </w:rPr>
        <w:t>超差识别</w:t>
      </w:r>
      <w:r w:rsidR="00772E11">
        <w:rPr>
          <w:rFonts w:cs="Times New Roman" w:hint="eastAsia"/>
          <w:sz w:val="24"/>
          <w:szCs w:val="24"/>
        </w:rPr>
        <w:t>率</w:t>
      </w:r>
      <w:r w:rsidR="00772E11">
        <w:rPr>
          <w:rFonts w:cs="Times New Roman" w:hint="eastAsia"/>
          <w:sz w:val="24"/>
          <w:szCs w:val="24"/>
        </w:rPr>
        <w:t>达到一定水平之上</w:t>
      </w:r>
      <w:r w:rsidR="00772E11">
        <w:rPr>
          <w:rFonts w:cs="Times New Roman" w:hint="eastAsia"/>
          <w:sz w:val="24"/>
          <w:szCs w:val="24"/>
        </w:rPr>
        <w:t>。</w:t>
      </w:r>
    </w:p>
    <w:p w14:paraId="3967D084" w14:textId="7DADCFAD" w:rsidR="00296BAF" w:rsidRDefault="00296BAF" w:rsidP="00296BAF">
      <w:pPr>
        <w:pStyle w:val="074"/>
        <w:snapToGrid w:val="0"/>
        <w:spacing w:line="360" w:lineRule="auto"/>
        <w:ind w:firstLineChars="200" w:firstLine="480"/>
        <w:rPr>
          <w:rFonts w:cs="Times New Roman"/>
          <w:sz w:val="24"/>
          <w:szCs w:val="24"/>
        </w:rPr>
      </w:pPr>
      <w:r>
        <w:rPr>
          <w:rFonts w:cs="Times New Roman"/>
          <w:sz w:val="24"/>
          <w:szCs w:val="24"/>
        </w:rPr>
        <w:t>误判率反映误差在线评估系统在保证一定超差识别率前提下，将合格电能表误判为超差电能表的可能性。误差在线评估系统判定为超差的电能表需要人工现场复核，因此误判会带来额外的人工成本。</w:t>
      </w:r>
      <w:r w:rsidR="009C1910">
        <w:rPr>
          <w:rFonts w:cs="Times New Roman" w:hint="eastAsia"/>
          <w:sz w:val="24"/>
          <w:szCs w:val="24"/>
        </w:rPr>
        <w:t>因此需要控制</w:t>
      </w:r>
      <w:r w:rsidR="009C1910">
        <w:rPr>
          <w:rFonts w:cs="Times New Roman"/>
          <w:sz w:val="24"/>
          <w:szCs w:val="24"/>
        </w:rPr>
        <w:t>误差在线评估系统</w:t>
      </w:r>
      <w:r w:rsidR="009C1910">
        <w:rPr>
          <w:rFonts w:cs="Times New Roman" w:hint="eastAsia"/>
          <w:sz w:val="24"/>
          <w:szCs w:val="24"/>
        </w:rPr>
        <w:t>的误判率保持在一定水平下。</w:t>
      </w:r>
    </w:p>
    <w:p w14:paraId="1D109C8F" w14:textId="50B8C779" w:rsidR="006D4831" w:rsidRPr="006D4E26" w:rsidRDefault="00772E11" w:rsidP="00486D69">
      <w:pPr>
        <w:snapToGrid w:val="0"/>
        <w:spacing w:line="360" w:lineRule="auto"/>
        <w:ind w:firstLineChars="200" w:firstLine="480"/>
        <w:rPr>
          <w:rFonts w:ascii="宋体" w:hAnsi="宋体" w:hint="eastAsia"/>
          <w:sz w:val="24"/>
        </w:rPr>
      </w:pPr>
      <w:r w:rsidRPr="005836A7">
        <w:rPr>
          <w:rFonts w:ascii="宋体" w:hAnsi="宋体" w:hint="eastAsia"/>
          <w:sz w:val="24"/>
        </w:rPr>
        <w:t>超差识别率和误判率</w:t>
      </w:r>
      <w:r w:rsidR="00312038">
        <w:rPr>
          <w:rFonts w:ascii="宋体" w:hAnsi="宋体" w:hint="eastAsia"/>
          <w:sz w:val="24"/>
        </w:rPr>
        <w:t>是</w:t>
      </w:r>
      <w:r w:rsidR="00533448">
        <w:rPr>
          <w:rFonts w:ascii="宋体" w:hAnsi="宋体" w:hint="eastAsia"/>
          <w:sz w:val="24"/>
        </w:rPr>
        <w:t>互斥</w:t>
      </w:r>
      <w:r w:rsidR="00312038">
        <w:rPr>
          <w:rFonts w:ascii="宋体" w:hAnsi="宋体" w:hint="eastAsia"/>
          <w:sz w:val="24"/>
        </w:rPr>
        <w:t>的指标</w:t>
      </w:r>
      <w:r>
        <w:rPr>
          <w:rFonts w:ascii="宋体" w:hAnsi="宋体" w:hint="eastAsia"/>
          <w:sz w:val="24"/>
        </w:rPr>
        <w:t>，</w:t>
      </w:r>
      <w:r w:rsidR="00533448">
        <w:rPr>
          <w:rFonts w:ascii="宋体" w:hAnsi="宋体" w:hint="eastAsia"/>
          <w:sz w:val="24"/>
        </w:rPr>
        <w:t>为了实际应用经济性和效益性，</w:t>
      </w:r>
      <w:r w:rsidR="00BC3DE3">
        <w:rPr>
          <w:sz w:val="24"/>
        </w:rPr>
        <w:t>误差在线评估系统</w:t>
      </w:r>
      <w:r w:rsidR="00533448">
        <w:rPr>
          <w:rFonts w:ascii="宋体" w:hAnsi="宋体" w:hint="eastAsia"/>
          <w:sz w:val="24"/>
        </w:rPr>
        <w:t>需要平衡二者</w:t>
      </w:r>
      <w:r w:rsidR="00AB46F8">
        <w:rPr>
          <w:rFonts w:ascii="宋体" w:hAnsi="宋体" w:hint="eastAsia"/>
          <w:sz w:val="24"/>
        </w:rPr>
        <w:t>。</w:t>
      </w:r>
      <w:r w:rsidR="00BC3DE3">
        <w:rPr>
          <w:rFonts w:ascii="宋体" w:hAnsi="宋体" w:hint="eastAsia"/>
          <w:sz w:val="24"/>
        </w:rPr>
        <w:t>因此，被测系统需要给出其在一定条件下的</w:t>
      </w:r>
      <w:r w:rsidR="00BC3DE3" w:rsidRPr="005836A7">
        <w:rPr>
          <w:rFonts w:ascii="宋体" w:hAnsi="宋体" w:hint="eastAsia"/>
          <w:sz w:val="24"/>
        </w:rPr>
        <w:t>超差识别率和误判率</w:t>
      </w:r>
      <w:r w:rsidR="00BC3DE3">
        <w:rPr>
          <w:rFonts w:ascii="宋体" w:hAnsi="宋体" w:hint="eastAsia"/>
          <w:sz w:val="24"/>
        </w:rPr>
        <w:t>声明。</w:t>
      </w:r>
      <w:r w:rsidR="008C7CB3">
        <w:rPr>
          <w:rFonts w:ascii="宋体" w:hAnsi="宋体" w:hint="eastAsia"/>
          <w:sz w:val="24"/>
        </w:rPr>
        <w:t>被规范将参照该声明对被测系统的这两个指标进行评价。</w:t>
      </w:r>
    </w:p>
    <w:p w14:paraId="2CA43949" w14:textId="77777777" w:rsidR="00486D69" w:rsidRPr="00B77D92" w:rsidRDefault="00486D69" w:rsidP="00486D69">
      <w:pPr>
        <w:snapToGrid w:val="0"/>
        <w:spacing w:line="360" w:lineRule="auto"/>
        <w:rPr>
          <w:rFonts w:ascii="宋体" w:hAnsi="宋体" w:hint="eastAsia"/>
          <w:b/>
          <w:sz w:val="24"/>
        </w:rPr>
      </w:pPr>
      <w:r w:rsidRPr="00B77D92">
        <w:rPr>
          <w:rFonts w:ascii="宋体" w:hAnsi="宋体" w:hint="eastAsia"/>
          <w:b/>
          <w:sz w:val="24"/>
        </w:rPr>
        <w:t>（二）编制原则</w:t>
      </w:r>
    </w:p>
    <w:p w14:paraId="33365E9E" w14:textId="2DEC087D" w:rsidR="00486D69" w:rsidRPr="00B77D92" w:rsidRDefault="00486D69" w:rsidP="00486D69">
      <w:pPr>
        <w:adjustRightInd w:val="0"/>
        <w:snapToGrid w:val="0"/>
        <w:spacing w:line="360" w:lineRule="auto"/>
        <w:ind w:firstLineChars="200" w:firstLine="480"/>
        <w:rPr>
          <w:sz w:val="24"/>
        </w:rPr>
      </w:pPr>
      <w:r w:rsidRPr="00B77D92">
        <w:rPr>
          <w:kern w:val="0"/>
          <w:sz w:val="24"/>
          <w:lang w:val="en-US" w:eastAsia="zh-CN"/>
        </w:rPr>
        <w:lastRenderedPageBreak/>
        <w:t>本规范</w:t>
      </w:r>
      <w:r w:rsidRPr="00B77D92">
        <w:rPr>
          <w:rFonts w:hint="eastAsia"/>
          <w:kern w:val="0"/>
          <w:sz w:val="24"/>
          <w:lang w:val="en-US"/>
        </w:rPr>
        <w:t>依据</w:t>
      </w:r>
      <w:r w:rsidRPr="00B77D92">
        <w:rPr>
          <w:kern w:val="0"/>
          <w:sz w:val="24"/>
          <w:lang w:val="en-US" w:eastAsia="zh-CN"/>
        </w:rPr>
        <w:t>JJF 1071</w:t>
      </w:r>
      <w:r w:rsidRPr="00B77D92">
        <w:rPr>
          <w:sz w:val="24"/>
          <w:shd w:val="clear" w:color="auto" w:fill="FFFFFF"/>
        </w:rPr>
        <w:t>－</w:t>
      </w:r>
      <w:r w:rsidRPr="00B77D92">
        <w:rPr>
          <w:kern w:val="0"/>
          <w:sz w:val="24"/>
          <w:lang w:val="en-US" w:eastAsia="zh-CN"/>
        </w:rPr>
        <w:t>2010</w:t>
      </w:r>
      <w:r w:rsidRPr="00B77D92">
        <w:rPr>
          <w:kern w:val="0"/>
          <w:sz w:val="24"/>
          <w:lang w:val="en-US" w:eastAsia="zh-CN"/>
        </w:rPr>
        <w:t>《国家计量校准规范编写规则》</w:t>
      </w:r>
      <w:r w:rsidRPr="00B77D92">
        <w:rPr>
          <w:rFonts w:ascii="宋体" w:hAnsi="宋体" w:hint="eastAsia"/>
          <w:sz w:val="24"/>
        </w:rPr>
        <w:t>的要求起草完成；其中术语的编写与定义遵循</w:t>
      </w:r>
      <w:r w:rsidRPr="00B77D92">
        <w:rPr>
          <w:kern w:val="0"/>
          <w:sz w:val="24"/>
          <w:lang w:val="en-US" w:eastAsia="zh-CN"/>
        </w:rPr>
        <w:t>JJF 1001</w:t>
      </w:r>
      <w:r w:rsidRPr="00B77D92">
        <w:rPr>
          <w:sz w:val="24"/>
          <w:shd w:val="clear" w:color="auto" w:fill="FFFFFF"/>
        </w:rPr>
        <w:t>－</w:t>
      </w:r>
      <w:r w:rsidRPr="00B77D92">
        <w:rPr>
          <w:kern w:val="0"/>
          <w:sz w:val="24"/>
          <w:lang w:val="en-US" w:eastAsia="zh-CN"/>
        </w:rPr>
        <w:t>201</w:t>
      </w:r>
      <w:r w:rsidRPr="00B77D92">
        <w:rPr>
          <w:rFonts w:hint="eastAsia"/>
          <w:kern w:val="0"/>
          <w:sz w:val="24"/>
          <w:lang w:val="en-US"/>
        </w:rPr>
        <w:t>1</w:t>
      </w:r>
      <w:r w:rsidRPr="00B77D92">
        <w:rPr>
          <w:kern w:val="0"/>
          <w:sz w:val="24"/>
          <w:lang w:val="en-US" w:eastAsia="zh-CN"/>
        </w:rPr>
        <w:t>《通用计量术语及定义》</w:t>
      </w:r>
      <w:r w:rsidRPr="00B77D92">
        <w:rPr>
          <w:rFonts w:hint="eastAsia"/>
          <w:kern w:val="0"/>
          <w:sz w:val="24"/>
          <w:lang w:val="en-US"/>
        </w:rPr>
        <w:t>的要求要求</w:t>
      </w:r>
      <w:r w:rsidR="005D2E43">
        <w:rPr>
          <w:rFonts w:hint="eastAsia"/>
          <w:kern w:val="0"/>
          <w:sz w:val="24"/>
          <w:lang w:val="en-US"/>
        </w:rPr>
        <w:t>。</w:t>
      </w:r>
    </w:p>
    <w:p w14:paraId="47D8969C" w14:textId="77777777" w:rsidR="00486D69" w:rsidRPr="00B77D92" w:rsidRDefault="00486D69" w:rsidP="00486D69">
      <w:pPr>
        <w:snapToGrid w:val="0"/>
        <w:spacing w:line="360" w:lineRule="auto"/>
        <w:rPr>
          <w:rFonts w:ascii="宋体" w:hAnsi="宋体" w:hint="eastAsia"/>
          <w:b/>
          <w:sz w:val="24"/>
        </w:rPr>
      </w:pPr>
      <w:r w:rsidRPr="00B77D92">
        <w:rPr>
          <w:rFonts w:ascii="宋体" w:hAnsi="宋体" w:hint="eastAsia"/>
          <w:b/>
          <w:sz w:val="24"/>
        </w:rPr>
        <w:t>五、编制过程</w:t>
      </w:r>
    </w:p>
    <w:p w14:paraId="32963A82" w14:textId="02A94371" w:rsidR="008C0F90" w:rsidRDefault="00640E37" w:rsidP="00486D69">
      <w:pPr>
        <w:snapToGrid w:val="0"/>
        <w:spacing w:line="360" w:lineRule="auto"/>
        <w:ind w:firstLineChars="200" w:firstLine="480"/>
        <w:rPr>
          <w:rFonts w:ascii="宋体" w:hAnsi="宋体"/>
          <w:sz w:val="24"/>
        </w:rPr>
      </w:pPr>
      <w:r>
        <w:rPr>
          <w:rFonts w:ascii="宋体" w:hAnsi="宋体" w:hint="eastAsia"/>
          <w:sz w:val="24"/>
        </w:rPr>
        <w:t>编制组从相关规范梳理、系统</w:t>
      </w:r>
      <w:r w:rsidR="00392483">
        <w:rPr>
          <w:rFonts w:ascii="宋体" w:hAnsi="宋体" w:hint="eastAsia"/>
          <w:sz w:val="24"/>
        </w:rPr>
        <w:t>应用目标和关键指标梳理、标准数据集构造</w:t>
      </w:r>
      <w:r w:rsidR="004756A5">
        <w:rPr>
          <w:rFonts w:ascii="宋体" w:hAnsi="宋体" w:hint="eastAsia"/>
          <w:sz w:val="24"/>
        </w:rPr>
        <w:t>、评价项目设计几方面开展</w:t>
      </w:r>
      <w:r w:rsidR="00A3630C">
        <w:rPr>
          <w:rFonts w:ascii="宋体" w:hAnsi="宋体" w:hint="eastAsia"/>
          <w:sz w:val="24"/>
        </w:rPr>
        <w:t>前期工作</w:t>
      </w:r>
      <w:r w:rsidR="004756A5">
        <w:rPr>
          <w:rFonts w:ascii="宋体" w:hAnsi="宋体" w:hint="eastAsia"/>
          <w:sz w:val="24"/>
        </w:rPr>
        <w:t>。</w:t>
      </w:r>
    </w:p>
    <w:p w14:paraId="170FB053" w14:textId="7107D3F3" w:rsidR="00A3630C" w:rsidRDefault="00A3630C" w:rsidP="00486D69">
      <w:pPr>
        <w:snapToGrid w:val="0"/>
        <w:spacing w:line="360" w:lineRule="auto"/>
        <w:rPr>
          <w:rFonts w:ascii="宋体" w:hAnsi="宋体" w:hint="eastAsia"/>
          <w:b/>
          <w:sz w:val="24"/>
        </w:rPr>
      </w:pPr>
      <w:r>
        <w:rPr>
          <w:rFonts w:ascii="宋体" w:hAnsi="宋体" w:hint="eastAsia"/>
          <w:b/>
          <w:sz w:val="24"/>
        </w:rPr>
        <w:t xml:space="preserve">    </w:t>
      </w:r>
      <w:r w:rsidRPr="00A3630C">
        <w:rPr>
          <w:rFonts w:ascii="宋体" w:hAnsi="宋体" w:hint="eastAsia"/>
          <w:sz w:val="24"/>
        </w:rPr>
        <w:t>在此基础上编制组</w:t>
      </w:r>
      <w:r>
        <w:rPr>
          <w:rFonts w:ascii="宋体" w:hAnsi="宋体" w:hint="eastAsia"/>
          <w:sz w:val="24"/>
        </w:rPr>
        <w:t>通过线上线下会议讨论方式，形成规范</w:t>
      </w:r>
      <w:r w:rsidR="00AA3276">
        <w:rPr>
          <w:rFonts w:ascii="宋体" w:hAnsi="宋体" w:hint="eastAsia"/>
          <w:sz w:val="24"/>
        </w:rPr>
        <w:t>征求意见</w:t>
      </w:r>
      <w:r>
        <w:rPr>
          <w:rFonts w:ascii="宋体" w:hAnsi="宋体" w:hint="eastAsia"/>
          <w:sz w:val="24"/>
        </w:rPr>
        <w:t>稿。</w:t>
      </w:r>
    </w:p>
    <w:p w14:paraId="4F1918D8" w14:textId="3B646F54" w:rsidR="00486D69" w:rsidRPr="00B77D92" w:rsidRDefault="00486D69" w:rsidP="00486D69">
      <w:pPr>
        <w:snapToGrid w:val="0"/>
        <w:spacing w:line="360" w:lineRule="auto"/>
        <w:rPr>
          <w:rFonts w:ascii="宋体" w:hAnsi="宋体" w:hint="eastAsia"/>
          <w:b/>
          <w:sz w:val="24"/>
        </w:rPr>
      </w:pPr>
      <w:r w:rsidRPr="00B77D92">
        <w:rPr>
          <w:rFonts w:ascii="宋体" w:hAnsi="宋体" w:hint="eastAsia"/>
          <w:b/>
          <w:sz w:val="24"/>
        </w:rPr>
        <w:t>六、内容说明</w:t>
      </w:r>
    </w:p>
    <w:p w14:paraId="10DAEBF7" w14:textId="7E3269D5"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.1关于</w:t>
      </w:r>
      <w:r w:rsidR="008C0F90">
        <w:rPr>
          <w:rFonts w:ascii="宋体" w:hAnsi="宋体" w:hint="eastAsia"/>
          <w:b/>
          <w:sz w:val="24"/>
        </w:rPr>
        <w:t>规范</w:t>
      </w:r>
      <w:r w:rsidRPr="00B77D92">
        <w:rPr>
          <w:rFonts w:ascii="宋体" w:hAnsi="宋体" w:hint="eastAsia"/>
          <w:b/>
          <w:sz w:val="24"/>
        </w:rPr>
        <w:t>的适用范围</w:t>
      </w:r>
    </w:p>
    <w:p w14:paraId="33EC9B73" w14:textId="3070B462" w:rsidR="008C0F90" w:rsidRDefault="008C0F90" w:rsidP="008C0F90">
      <w:pPr>
        <w:pStyle w:val="21"/>
        <w:snapToGrid w:val="0"/>
        <w:spacing w:after="0" w:line="360" w:lineRule="auto"/>
        <w:ind w:leftChars="0" w:left="0" w:firstLineChars="200" w:firstLine="480"/>
        <w:jc w:val="left"/>
        <w:rPr>
          <w:sz w:val="24"/>
          <w:szCs w:val="24"/>
        </w:rPr>
      </w:pPr>
      <w:r>
        <w:rPr>
          <w:sz w:val="24"/>
          <w:szCs w:val="24"/>
        </w:rPr>
        <w:t>本规范适用于低压台区电能表误差在线评估系统的评价。</w:t>
      </w:r>
    </w:p>
    <w:p w14:paraId="0F22903F" w14:textId="77777777" w:rsidR="00486D69" w:rsidRDefault="00486D69" w:rsidP="00486D69">
      <w:pPr>
        <w:snapToGrid w:val="0"/>
        <w:spacing w:line="360" w:lineRule="auto"/>
        <w:rPr>
          <w:rFonts w:ascii="宋体" w:hAnsi="宋体"/>
          <w:b/>
          <w:sz w:val="24"/>
        </w:rPr>
      </w:pPr>
      <w:r w:rsidRPr="00B77D92">
        <w:rPr>
          <w:rFonts w:ascii="宋体" w:hAnsi="宋体"/>
          <w:b/>
          <w:sz w:val="24"/>
        </w:rPr>
        <w:t>6.</w:t>
      </w:r>
      <w:r w:rsidRPr="00B77D92">
        <w:rPr>
          <w:rFonts w:ascii="宋体" w:hAnsi="宋体" w:hint="eastAsia"/>
          <w:b/>
          <w:sz w:val="24"/>
        </w:rPr>
        <w:t>2 引用文件</w:t>
      </w:r>
    </w:p>
    <w:p w14:paraId="11E0AF13" w14:textId="77777777" w:rsidR="00790A11" w:rsidRDefault="008C0F90" w:rsidP="008C0F90">
      <w:pPr>
        <w:snapToGrid w:val="0"/>
        <w:spacing w:line="360" w:lineRule="auto"/>
        <w:ind w:firstLineChars="200" w:firstLine="480"/>
        <w:jc w:val="left"/>
        <w:rPr>
          <w:sz w:val="24"/>
        </w:rPr>
      </w:pPr>
      <w:r>
        <w:rPr>
          <w:sz w:val="24"/>
        </w:rPr>
        <w:t>本规范引用了下列文件：</w:t>
      </w:r>
    </w:p>
    <w:p w14:paraId="4285C986" w14:textId="0AB659F8" w:rsidR="008C0F90" w:rsidRDefault="008C0F90" w:rsidP="008C0F90">
      <w:pPr>
        <w:snapToGrid w:val="0"/>
        <w:spacing w:line="360" w:lineRule="auto"/>
        <w:ind w:firstLineChars="200" w:firstLine="480"/>
        <w:jc w:val="left"/>
        <w:rPr>
          <w:sz w:val="24"/>
        </w:rPr>
      </w:pPr>
      <w:r>
        <w:rPr>
          <w:sz w:val="24"/>
        </w:rPr>
        <w:t xml:space="preserve">JJG 596 </w:t>
      </w:r>
      <w:r>
        <w:rPr>
          <w:sz w:val="24"/>
        </w:rPr>
        <w:t>安装式交流电能表</w:t>
      </w:r>
      <w:r w:rsidR="00790A11">
        <w:rPr>
          <w:rFonts w:hint="eastAsia"/>
          <w:sz w:val="24"/>
        </w:rPr>
        <w:t>，合格电能表最大允许误差限参照其给出。</w:t>
      </w:r>
    </w:p>
    <w:p w14:paraId="1ECC2701" w14:textId="624CCFE3"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.3术语</w:t>
      </w:r>
    </w:p>
    <w:p w14:paraId="206C26FA" w14:textId="04F2F079" w:rsidR="008C0F90" w:rsidRDefault="00790A11" w:rsidP="00486D69">
      <w:pPr>
        <w:snapToGrid w:val="0"/>
        <w:spacing w:line="360" w:lineRule="auto"/>
        <w:rPr>
          <w:rFonts w:ascii="宋体" w:hAnsi="宋体" w:hint="eastAsia"/>
          <w:sz w:val="24"/>
        </w:rPr>
      </w:pPr>
      <w:r>
        <w:rPr>
          <w:rFonts w:ascii="宋体" w:hAnsi="宋体" w:hint="eastAsia"/>
          <w:sz w:val="24"/>
        </w:rPr>
        <w:t xml:space="preserve">    本节给出了三类术语定义：1）</w:t>
      </w:r>
      <w:r>
        <w:rPr>
          <w:sz w:val="24"/>
        </w:rPr>
        <w:t>误差在线评估系统</w:t>
      </w:r>
      <w:r>
        <w:rPr>
          <w:rFonts w:hint="eastAsia"/>
          <w:sz w:val="24"/>
        </w:rPr>
        <w:t>相关定义；</w:t>
      </w:r>
      <w:r>
        <w:rPr>
          <w:rFonts w:hint="eastAsia"/>
          <w:sz w:val="24"/>
        </w:rPr>
        <w:t>2</w:t>
      </w:r>
      <w:r>
        <w:rPr>
          <w:rFonts w:hint="eastAsia"/>
          <w:sz w:val="24"/>
        </w:rPr>
        <w:t>）标准数据集相关定义；</w:t>
      </w:r>
      <w:r>
        <w:rPr>
          <w:rFonts w:hint="eastAsia"/>
          <w:sz w:val="24"/>
        </w:rPr>
        <w:t>3</w:t>
      </w:r>
      <w:r>
        <w:rPr>
          <w:rFonts w:hint="eastAsia"/>
          <w:sz w:val="24"/>
        </w:rPr>
        <w:t>）评价指标的定义。</w:t>
      </w:r>
    </w:p>
    <w:p w14:paraId="59E97DD5" w14:textId="469016FC" w:rsidR="00486D69" w:rsidRDefault="00486D69" w:rsidP="00486D69">
      <w:pPr>
        <w:snapToGrid w:val="0"/>
        <w:spacing w:line="360" w:lineRule="auto"/>
        <w:rPr>
          <w:rFonts w:ascii="宋体" w:hAnsi="宋体"/>
          <w:b/>
          <w:sz w:val="24"/>
        </w:rPr>
      </w:pPr>
      <w:r w:rsidRPr="00B77D92">
        <w:rPr>
          <w:rFonts w:ascii="宋体" w:hAnsi="宋体"/>
          <w:b/>
          <w:sz w:val="24"/>
        </w:rPr>
        <w:t>6</w:t>
      </w:r>
      <w:r w:rsidRPr="00B77D92">
        <w:rPr>
          <w:rFonts w:ascii="宋体" w:hAnsi="宋体" w:hint="eastAsia"/>
          <w:b/>
          <w:sz w:val="24"/>
        </w:rPr>
        <w:t>.4概述</w:t>
      </w:r>
    </w:p>
    <w:p w14:paraId="54DD9C04" w14:textId="747BCC51" w:rsidR="00790A11" w:rsidRPr="006C3A5F" w:rsidRDefault="006C3A5F" w:rsidP="006C3A5F">
      <w:pPr>
        <w:snapToGrid w:val="0"/>
        <w:spacing w:line="360" w:lineRule="auto"/>
        <w:ind w:firstLineChars="200" w:firstLine="480"/>
        <w:rPr>
          <w:rFonts w:ascii="宋体" w:hAnsi="宋体"/>
          <w:sz w:val="24"/>
        </w:rPr>
      </w:pPr>
      <w:r>
        <w:rPr>
          <w:rFonts w:ascii="宋体" w:hAnsi="宋体" w:hint="eastAsia"/>
          <w:sz w:val="24"/>
        </w:rPr>
        <w:t>首先</w:t>
      </w:r>
      <w:r w:rsidRPr="006C3A5F">
        <w:rPr>
          <w:rFonts w:ascii="宋体" w:hAnsi="宋体" w:hint="eastAsia"/>
          <w:sz w:val="24"/>
        </w:rPr>
        <w:t>介绍了基本原理</w:t>
      </w:r>
      <w:r>
        <w:rPr>
          <w:rFonts w:ascii="宋体" w:hAnsi="宋体" w:hint="eastAsia"/>
          <w:sz w:val="24"/>
        </w:rPr>
        <w:t>。</w:t>
      </w:r>
      <w:r>
        <w:rPr>
          <w:sz w:val="24"/>
        </w:rPr>
        <w:t>误差在线评估系统使用电能表误差在线评估算法（以下简称误差在线评估算法），接收电能表运行数据，计算电能表运行误差。根据台区拓扑结构和能量守恒定律，误差在线评估算法建立以电能表运行误差为未知数的线性方程组，通过求解方程组得到电能表运行误差。</w:t>
      </w:r>
    </w:p>
    <w:p w14:paraId="1DEF1F2A" w14:textId="1661D153" w:rsidR="006C3A5F" w:rsidRDefault="005D2E43" w:rsidP="006C3A5F">
      <w:pPr>
        <w:snapToGrid w:val="0"/>
        <w:spacing w:line="360" w:lineRule="auto"/>
        <w:ind w:firstLineChars="200" w:firstLine="480"/>
        <w:rPr>
          <w:rFonts w:ascii="宋体" w:hAnsi="宋体"/>
          <w:sz w:val="24"/>
        </w:rPr>
      </w:pPr>
      <w:r>
        <w:rPr>
          <w:rFonts w:ascii="宋体" w:hAnsi="宋体" w:hint="eastAsia"/>
          <w:sz w:val="24"/>
        </w:rPr>
        <w:t>接下来</w:t>
      </w:r>
      <w:r w:rsidR="006C3A5F">
        <w:rPr>
          <w:rFonts w:ascii="宋体" w:hAnsi="宋体" w:hint="eastAsia"/>
          <w:sz w:val="24"/>
        </w:rPr>
        <w:t>介绍了</w:t>
      </w:r>
      <w:r w:rsidRPr="005D2E43">
        <w:rPr>
          <w:rFonts w:ascii="宋体" w:hAnsi="宋体" w:hint="eastAsia"/>
          <w:sz w:val="24"/>
        </w:rPr>
        <w:t>总表和分表的</w:t>
      </w:r>
      <w:r>
        <w:rPr>
          <w:rFonts w:ascii="宋体" w:hAnsi="宋体" w:hint="eastAsia"/>
          <w:sz w:val="24"/>
        </w:rPr>
        <w:t>测量数据。其</w:t>
      </w:r>
      <w:r w:rsidRPr="005D2E43">
        <w:rPr>
          <w:rFonts w:ascii="宋体" w:hAnsi="宋体" w:hint="eastAsia"/>
          <w:sz w:val="24"/>
        </w:rPr>
        <w:t>电能测量值是电能累计值，</w:t>
      </w:r>
      <w:r>
        <w:rPr>
          <w:rFonts w:ascii="宋体" w:hAnsi="宋体" w:hint="eastAsia"/>
          <w:sz w:val="24"/>
        </w:rPr>
        <w:t>具有</w:t>
      </w:r>
      <w:r w:rsidRPr="005D2E43">
        <w:rPr>
          <w:rFonts w:ascii="宋体" w:hAnsi="宋体" w:hint="eastAsia"/>
          <w:sz w:val="24"/>
        </w:rPr>
        <w:t>一定的测量分辨力，总表通常安装在互感器二次侧，设其综合倍率为k，则总表电能测量值乘以k为一次侧电能测量值。</w:t>
      </w:r>
      <w:r>
        <w:rPr>
          <w:sz w:val="24"/>
        </w:rPr>
        <w:t>需要将相邻时刻的电能值差分，得到每一时段</w:t>
      </w:r>
      <w:r>
        <w:rPr>
          <w:rFonts w:hint="eastAsia"/>
          <w:sz w:val="24"/>
        </w:rPr>
        <w:t>的电能测量值。</w:t>
      </w:r>
    </w:p>
    <w:p w14:paraId="35FB4CCB" w14:textId="60B19CE8" w:rsidR="006C3A5F" w:rsidRPr="006C3A5F" w:rsidRDefault="005D2E43" w:rsidP="005D2E43">
      <w:pPr>
        <w:snapToGrid w:val="0"/>
        <w:spacing w:line="360" w:lineRule="auto"/>
        <w:ind w:firstLineChars="200" w:firstLine="480"/>
        <w:rPr>
          <w:rFonts w:ascii="宋体" w:hAnsi="宋体"/>
          <w:sz w:val="24"/>
        </w:rPr>
      </w:pPr>
      <w:r>
        <w:rPr>
          <w:rFonts w:ascii="宋体" w:hAnsi="宋体" w:hint="eastAsia"/>
          <w:sz w:val="24"/>
        </w:rPr>
        <w:t>之后介绍了根据能量守恒定律，</w:t>
      </w:r>
      <w:r w:rsidR="0082189C">
        <w:rPr>
          <w:rFonts w:ascii="宋体" w:hAnsi="宋体" w:hint="eastAsia"/>
          <w:sz w:val="24"/>
        </w:rPr>
        <w:t>以电能表误差为未知数构造线性</w:t>
      </w:r>
      <w:r w:rsidR="006C3A5F" w:rsidRPr="006C3A5F">
        <w:rPr>
          <w:rFonts w:ascii="宋体" w:hAnsi="宋体" w:hint="eastAsia"/>
          <w:sz w:val="24"/>
        </w:rPr>
        <w:t>方程组</w:t>
      </w:r>
      <w:r w:rsidR="0082189C">
        <w:rPr>
          <w:rFonts w:ascii="宋体" w:hAnsi="宋体" w:hint="eastAsia"/>
          <w:sz w:val="24"/>
        </w:rPr>
        <w:t>的方法。</w:t>
      </w:r>
    </w:p>
    <w:p w14:paraId="2F1F63A2" w14:textId="38423F73" w:rsidR="0082189C" w:rsidRPr="0082189C" w:rsidRDefault="0082189C" w:rsidP="0082189C">
      <w:pPr>
        <w:pStyle w:val="074"/>
        <w:snapToGrid w:val="0"/>
        <w:spacing w:line="360" w:lineRule="auto"/>
        <w:ind w:firstLineChars="200" w:firstLine="480"/>
        <w:rPr>
          <w:rFonts w:ascii="宋体" w:hAnsi="宋体" w:cs="Times New Roman" w:hint="eastAsia"/>
          <w:sz w:val="24"/>
          <w:szCs w:val="24"/>
        </w:rPr>
      </w:pPr>
      <w:r>
        <w:rPr>
          <w:rFonts w:ascii="宋体" w:hAnsi="宋体" w:cs="Times New Roman" w:hint="eastAsia"/>
          <w:sz w:val="24"/>
          <w:szCs w:val="24"/>
        </w:rPr>
        <w:t>最后给出了</w:t>
      </w:r>
      <w:r w:rsidR="006C3A5F" w:rsidRPr="006C3A5F">
        <w:rPr>
          <w:rFonts w:ascii="宋体" w:hAnsi="宋体" w:cs="Times New Roman" w:hint="eastAsia"/>
          <w:sz w:val="24"/>
          <w:szCs w:val="24"/>
        </w:rPr>
        <w:t>误差在线评估算法应用场景参数</w:t>
      </w:r>
      <w:r>
        <w:rPr>
          <w:rFonts w:ascii="宋体" w:hAnsi="宋体" w:cs="Times New Roman" w:hint="eastAsia"/>
          <w:sz w:val="24"/>
          <w:szCs w:val="24"/>
        </w:rPr>
        <w:t>，包括：1）</w:t>
      </w:r>
      <w:r w:rsidRPr="0082189C">
        <w:rPr>
          <w:rFonts w:ascii="宋体" w:hAnsi="宋体" w:cs="Times New Roman" w:hint="eastAsia"/>
          <w:sz w:val="24"/>
          <w:szCs w:val="24"/>
        </w:rPr>
        <w:t>台区参数</w:t>
      </w:r>
      <w:r>
        <w:rPr>
          <w:rFonts w:ascii="宋体" w:hAnsi="宋体" w:cs="Times New Roman" w:hint="eastAsia"/>
          <w:sz w:val="24"/>
          <w:szCs w:val="24"/>
        </w:rPr>
        <w:t>；2）</w:t>
      </w:r>
      <w:r w:rsidRPr="0082189C">
        <w:rPr>
          <w:rFonts w:ascii="宋体" w:hAnsi="宋体" w:cs="Times New Roman" w:hint="eastAsia"/>
          <w:sz w:val="24"/>
          <w:szCs w:val="24"/>
        </w:rPr>
        <w:t>数据参数</w:t>
      </w:r>
      <w:r>
        <w:rPr>
          <w:rFonts w:ascii="宋体" w:hAnsi="宋体" w:cs="Times New Roman" w:hint="eastAsia"/>
          <w:sz w:val="24"/>
          <w:szCs w:val="24"/>
        </w:rPr>
        <w:t>；3）</w:t>
      </w:r>
      <w:r w:rsidRPr="0082189C">
        <w:rPr>
          <w:rFonts w:ascii="宋体" w:hAnsi="宋体" w:cs="Times New Roman" w:hint="eastAsia"/>
          <w:sz w:val="24"/>
          <w:szCs w:val="24"/>
        </w:rPr>
        <w:t>电能表参数</w:t>
      </w:r>
      <w:r>
        <w:rPr>
          <w:rFonts w:ascii="宋体" w:hAnsi="宋体" w:cs="Times New Roman" w:hint="eastAsia"/>
          <w:sz w:val="24"/>
          <w:szCs w:val="24"/>
        </w:rPr>
        <w:t>。</w:t>
      </w:r>
    </w:p>
    <w:p w14:paraId="5ED0ADE2" w14:textId="77777777"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.5计量特性</w:t>
      </w:r>
    </w:p>
    <w:p w14:paraId="32DF8BDC" w14:textId="6FE53217" w:rsidR="002F7D97" w:rsidRPr="002F7D97" w:rsidRDefault="002F7D97" w:rsidP="002F7D97">
      <w:pPr>
        <w:snapToGrid w:val="0"/>
        <w:spacing w:line="360" w:lineRule="auto"/>
        <w:ind w:firstLineChars="200" w:firstLine="480"/>
        <w:rPr>
          <w:rFonts w:ascii="宋体" w:hAnsi="宋体"/>
          <w:sz w:val="24"/>
        </w:rPr>
      </w:pPr>
      <w:r w:rsidRPr="002F7D97">
        <w:rPr>
          <w:rFonts w:ascii="宋体" w:hAnsi="宋体" w:hint="eastAsia"/>
          <w:sz w:val="24"/>
        </w:rPr>
        <w:t>给出了</w:t>
      </w:r>
      <w:r w:rsidRPr="002F7D97">
        <w:rPr>
          <w:rFonts w:ascii="宋体" w:hAnsi="宋体" w:hint="eastAsia"/>
          <w:sz w:val="24"/>
        </w:rPr>
        <w:t>均方根误差</w:t>
      </w:r>
      <w:r w:rsidRPr="002F7D97">
        <w:rPr>
          <w:rFonts w:ascii="宋体" w:hAnsi="宋体" w:hint="eastAsia"/>
          <w:sz w:val="24"/>
        </w:rPr>
        <w:t>、</w:t>
      </w:r>
      <w:r w:rsidRPr="002F7D97">
        <w:rPr>
          <w:rFonts w:ascii="宋体" w:hAnsi="宋体" w:hint="eastAsia"/>
          <w:sz w:val="24"/>
        </w:rPr>
        <w:t>超差识别率和误判率</w:t>
      </w:r>
      <w:r w:rsidRPr="002F7D97">
        <w:rPr>
          <w:rFonts w:ascii="宋体" w:hAnsi="宋体" w:hint="eastAsia"/>
          <w:sz w:val="24"/>
        </w:rPr>
        <w:t>的计算方法。</w:t>
      </w:r>
    </w:p>
    <w:p w14:paraId="7EAAC1CE" w14:textId="52BD182A"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.6</w:t>
      </w:r>
      <w:r w:rsidR="002F7D97">
        <w:rPr>
          <w:rFonts w:ascii="宋体" w:hAnsi="宋体" w:hint="eastAsia"/>
          <w:b/>
          <w:sz w:val="24"/>
        </w:rPr>
        <w:t>通用技术要求</w:t>
      </w:r>
    </w:p>
    <w:p w14:paraId="77DA0148" w14:textId="2E9F489E" w:rsidR="00486D69" w:rsidRPr="00B77D92" w:rsidRDefault="000A5810" w:rsidP="00486D69">
      <w:pPr>
        <w:adjustRightInd w:val="0"/>
        <w:snapToGrid w:val="0"/>
        <w:spacing w:line="360" w:lineRule="auto"/>
        <w:ind w:firstLineChars="200" w:firstLine="480"/>
        <w:rPr>
          <w:rFonts w:hint="eastAsia"/>
          <w:kern w:val="0"/>
          <w:sz w:val="24"/>
          <w:lang w:val="en-US" w:eastAsia="zh-CN"/>
        </w:rPr>
      </w:pPr>
      <w:r>
        <w:rPr>
          <w:rFonts w:hint="eastAsia"/>
          <w:kern w:val="0"/>
          <w:sz w:val="24"/>
          <w:lang w:val="en-US" w:eastAsia="zh-CN"/>
        </w:rPr>
        <w:lastRenderedPageBreak/>
        <w:t>（</w:t>
      </w:r>
      <w:r w:rsidR="00486D69" w:rsidRPr="00B77D92">
        <w:rPr>
          <w:rFonts w:hint="eastAsia"/>
          <w:kern w:val="0"/>
          <w:sz w:val="24"/>
          <w:lang w:val="en-US" w:eastAsia="zh-CN"/>
        </w:rPr>
        <w:t>1</w:t>
      </w:r>
      <w:r w:rsidR="00486D69" w:rsidRPr="00B77D92">
        <w:rPr>
          <w:rFonts w:hint="eastAsia"/>
          <w:kern w:val="0"/>
          <w:sz w:val="24"/>
          <w:lang w:val="en-US" w:eastAsia="zh-CN"/>
        </w:rPr>
        <w:t>）</w:t>
      </w:r>
      <w:r w:rsidR="00DF1F49" w:rsidRPr="00DF1F49">
        <w:rPr>
          <w:rFonts w:hint="eastAsia"/>
          <w:kern w:val="0"/>
          <w:sz w:val="24"/>
          <w:lang w:val="en-US" w:eastAsia="zh-CN"/>
        </w:rPr>
        <w:t>系统描述信息</w:t>
      </w:r>
      <w:r w:rsidR="00DF1F49">
        <w:rPr>
          <w:rFonts w:hint="eastAsia"/>
          <w:kern w:val="0"/>
          <w:sz w:val="24"/>
          <w:lang w:val="en-US" w:eastAsia="zh-CN"/>
        </w:rPr>
        <w:t>要求，规定了被测系统需要提供的信息要求。</w:t>
      </w:r>
      <w:r w:rsidR="00486D69" w:rsidRPr="00B77D92">
        <w:rPr>
          <w:rFonts w:hint="eastAsia"/>
          <w:kern w:val="0"/>
          <w:sz w:val="24"/>
          <w:lang w:val="en-US" w:eastAsia="zh-CN"/>
        </w:rPr>
        <w:t xml:space="preserve"> </w:t>
      </w:r>
    </w:p>
    <w:p w14:paraId="01701455" w14:textId="2FB198FC" w:rsidR="00486D69" w:rsidRPr="00B77D92" w:rsidRDefault="000A5810" w:rsidP="00486D69">
      <w:pPr>
        <w:adjustRightInd w:val="0"/>
        <w:snapToGrid w:val="0"/>
        <w:spacing w:line="360" w:lineRule="auto"/>
        <w:ind w:firstLineChars="200" w:firstLine="480"/>
        <w:rPr>
          <w:kern w:val="0"/>
          <w:sz w:val="24"/>
          <w:lang w:val="en-US" w:eastAsia="zh-CN"/>
        </w:rPr>
      </w:pPr>
      <w:r>
        <w:rPr>
          <w:rFonts w:hint="eastAsia"/>
          <w:kern w:val="0"/>
          <w:sz w:val="24"/>
          <w:lang w:val="en-US" w:eastAsia="zh-CN"/>
        </w:rPr>
        <w:t>（</w:t>
      </w:r>
      <w:r w:rsidR="00486D69" w:rsidRPr="00B77D92">
        <w:rPr>
          <w:rFonts w:hint="eastAsia"/>
          <w:kern w:val="0"/>
          <w:sz w:val="24"/>
          <w:lang w:val="en-US" w:eastAsia="zh-CN"/>
        </w:rPr>
        <w:t>2</w:t>
      </w:r>
      <w:r w:rsidR="00486D69" w:rsidRPr="00B77D92">
        <w:rPr>
          <w:rFonts w:hint="eastAsia"/>
          <w:kern w:val="0"/>
          <w:sz w:val="24"/>
          <w:lang w:val="en-US" w:eastAsia="zh-CN"/>
        </w:rPr>
        <w:t>）</w:t>
      </w:r>
      <w:r w:rsidR="00DF1F49">
        <w:rPr>
          <w:rFonts w:hint="eastAsia"/>
          <w:kern w:val="0"/>
          <w:sz w:val="24"/>
          <w:lang w:val="en-US" w:eastAsia="zh-CN"/>
        </w:rPr>
        <w:t>测试接口要求，规定了</w:t>
      </w:r>
      <w:r w:rsidR="00DF1F49">
        <w:rPr>
          <w:sz w:val="24"/>
        </w:rPr>
        <w:t>误差在线评估系统应提供测试接口，该接口可接收标准数据集，并且输出电能表运行误差估计值及超差判别结论</w:t>
      </w:r>
      <w:r w:rsidR="00486D69" w:rsidRPr="00B77D92">
        <w:rPr>
          <w:rFonts w:hint="eastAsia"/>
          <w:kern w:val="0"/>
          <w:sz w:val="24"/>
          <w:lang w:val="en-US" w:eastAsia="zh-CN"/>
        </w:rPr>
        <w:t xml:space="preserve"> </w:t>
      </w:r>
    </w:p>
    <w:p w14:paraId="43C8A704" w14:textId="27AD3D4B"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.7</w:t>
      </w:r>
      <w:r w:rsidR="00DF1F49">
        <w:rPr>
          <w:rFonts w:ascii="宋体" w:hAnsi="宋体" w:hint="eastAsia"/>
          <w:b/>
          <w:sz w:val="24"/>
        </w:rPr>
        <w:t>评价</w:t>
      </w:r>
      <w:r w:rsidRPr="00B77D92">
        <w:rPr>
          <w:rFonts w:ascii="宋体" w:hAnsi="宋体" w:hint="eastAsia"/>
          <w:b/>
          <w:sz w:val="24"/>
        </w:rPr>
        <w:t>项目和</w:t>
      </w:r>
      <w:r w:rsidR="00DF1F49">
        <w:rPr>
          <w:rFonts w:ascii="宋体" w:hAnsi="宋体" w:hint="eastAsia"/>
          <w:b/>
          <w:sz w:val="24"/>
        </w:rPr>
        <w:t>评价</w:t>
      </w:r>
      <w:r w:rsidRPr="00B77D92">
        <w:rPr>
          <w:rFonts w:ascii="宋体" w:hAnsi="宋体" w:hint="eastAsia"/>
          <w:b/>
          <w:sz w:val="24"/>
        </w:rPr>
        <w:t>方法</w:t>
      </w:r>
    </w:p>
    <w:p w14:paraId="075EE022" w14:textId="1B6C0DFC" w:rsidR="000A5810" w:rsidRPr="000A5810" w:rsidRDefault="000A5810" w:rsidP="000A5810">
      <w:pPr>
        <w:snapToGrid w:val="0"/>
        <w:spacing w:line="360" w:lineRule="auto"/>
        <w:ind w:firstLineChars="200" w:firstLine="480"/>
        <w:rPr>
          <w:rFonts w:ascii="宋体" w:hAnsi="宋体"/>
          <w:sz w:val="24"/>
        </w:rPr>
      </w:pPr>
      <w:r w:rsidRPr="000A5810">
        <w:rPr>
          <w:rFonts w:ascii="宋体" w:hAnsi="宋体" w:hint="eastAsia"/>
          <w:sz w:val="24"/>
        </w:rPr>
        <w:t>（1）</w:t>
      </w:r>
      <w:r w:rsidRPr="000A5810">
        <w:rPr>
          <w:rFonts w:ascii="宋体" w:hAnsi="宋体" w:hint="eastAsia"/>
          <w:sz w:val="24"/>
        </w:rPr>
        <w:t>标准数据集</w:t>
      </w:r>
    </w:p>
    <w:p w14:paraId="1DE0B6D9" w14:textId="0B46E0F2" w:rsidR="000A5810" w:rsidRPr="000A5810" w:rsidRDefault="000A5810" w:rsidP="000A5810">
      <w:pPr>
        <w:snapToGrid w:val="0"/>
        <w:spacing w:line="360" w:lineRule="auto"/>
        <w:ind w:firstLineChars="200" w:firstLine="480"/>
        <w:rPr>
          <w:rFonts w:ascii="宋体" w:hAnsi="宋体" w:hint="eastAsia"/>
          <w:sz w:val="24"/>
        </w:rPr>
      </w:pPr>
      <w:r>
        <w:rPr>
          <w:rFonts w:ascii="宋体" w:hAnsi="宋体" w:hint="eastAsia"/>
          <w:sz w:val="24"/>
        </w:rPr>
        <w:t>本部分说明了本规范</w:t>
      </w:r>
      <w:r w:rsidRPr="000A5810">
        <w:rPr>
          <w:rFonts w:ascii="宋体" w:hAnsi="宋体" w:hint="eastAsia"/>
          <w:sz w:val="24"/>
        </w:rPr>
        <w:t>对误差在线评估系统的评价使用标准数据集。</w:t>
      </w:r>
    </w:p>
    <w:p w14:paraId="1656D92D" w14:textId="3811A319" w:rsidR="000A5810" w:rsidRPr="000A5810" w:rsidRDefault="000A5810" w:rsidP="000A5810">
      <w:pPr>
        <w:snapToGrid w:val="0"/>
        <w:spacing w:line="360" w:lineRule="auto"/>
        <w:ind w:firstLineChars="200" w:firstLine="480"/>
        <w:rPr>
          <w:rFonts w:ascii="宋体" w:hAnsi="宋体"/>
          <w:sz w:val="24"/>
        </w:rPr>
      </w:pPr>
      <w:r>
        <w:rPr>
          <w:rFonts w:ascii="宋体" w:hAnsi="宋体" w:hint="eastAsia"/>
          <w:sz w:val="24"/>
        </w:rPr>
        <w:t>并且规定了</w:t>
      </w:r>
      <w:r w:rsidRPr="000A5810">
        <w:rPr>
          <w:rFonts w:ascii="宋体" w:hAnsi="宋体" w:hint="eastAsia"/>
          <w:sz w:val="24"/>
        </w:rPr>
        <w:t>标准数据集内的所有标准测试数据中由各分表每一基本时段电能测量值构成的矩阵不应是亏秩矩阵</w:t>
      </w:r>
      <w:r>
        <w:rPr>
          <w:rFonts w:ascii="宋体" w:hAnsi="宋体" w:hint="eastAsia"/>
          <w:sz w:val="24"/>
        </w:rPr>
        <w:t>，保证最小二乘解的唯一性。</w:t>
      </w:r>
    </w:p>
    <w:p w14:paraId="64567397" w14:textId="4B5A2376" w:rsidR="000A5810" w:rsidRPr="000A5810" w:rsidRDefault="000A5810" w:rsidP="000A5810">
      <w:pPr>
        <w:snapToGrid w:val="0"/>
        <w:spacing w:line="360" w:lineRule="auto"/>
        <w:ind w:firstLineChars="200" w:firstLine="480"/>
        <w:rPr>
          <w:rFonts w:ascii="宋体" w:hAnsi="宋体"/>
          <w:sz w:val="24"/>
        </w:rPr>
      </w:pPr>
      <w:r w:rsidRPr="000A5810">
        <w:rPr>
          <w:rFonts w:ascii="宋体" w:hAnsi="宋体" w:hint="eastAsia"/>
          <w:sz w:val="24"/>
        </w:rPr>
        <w:t>（2）</w:t>
      </w:r>
      <w:r w:rsidRPr="000A5810">
        <w:rPr>
          <w:rFonts w:ascii="宋体" w:hAnsi="宋体" w:hint="eastAsia"/>
          <w:sz w:val="24"/>
        </w:rPr>
        <w:t>评价项目</w:t>
      </w:r>
    </w:p>
    <w:p w14:paraId="4D398F95" w14:textId="315E8181" w:rsidR="000A5810" w:rsidRPr="000A5810" w:rsidRDefault="000A5810" w:rsidP="000A5810">
      <w:pPr>
        <w:snapToGrid w:val="0"/>
        <w:spacing w:line="360" w:lineRule="auto"/>
        <w:ind w:firstLineChars="200" w:firstLine="480"/>
        <w:rPr>
          <w:rFonts w:ascii="宋体" w:hAnsi="宋体"/>
          <w:sz w:val="24"/>
        </w:rPr>
      </w:pPr>
      <w:r w:rsidRPr="000A5810">
        <w:rPr>
          <w:rFonts w:ascii="宋体" w:hAnsi="宋体" w:hint="eastAsia"/>
          <w:sz w:val="24"/>
        </w:rPr>
        <w:t>分别对</w:t>
      </w:r>
      <w:r w:rsidRPr="000A5810">
        <w:rPr>
          <w:rFonts w:ascii="宋体" w:hAnsi="宋体" w:hint="eastAsia"/>
          <w:sz w:val="24"/>
        </w:rPr>
        <w:t>均方根误差</w:t>
      </w:r>
      <w:r w:rsidRPr="000A5810">
        <w:rPr>
          <w:rFonts w:ascii="宋体" w:hAnsi="宋体" w:hint="eastAsia"/>
          <w:sz w:val="24"/>
        </w:rPr>
        <w:t>、</w:t>
      </w:r>
      <w:r w:rsidRPr="000A5810">
        <w:rPr>
          <w:rFonts w:ascii="宋体" w:hAnsi="宋体" w:hint="eastAsia"/>
          <w:sz w:val="24"/>
        </w:rPr>
        <w:t>超差识别率和误判率</w:t>
      </w:r>
      <w:r>
        <w:rPr>
          <w:rFonts w:ascii="宋体" w:hAnsi="宋体" w:hint="eastAsia"/>
          <w:sz w:val="24"/>
        </w:rPr>
        <w:t>项目的评价，描述了标准数据集的生成方法及结果的计算方法。</w:t>
      </w:r>
    </w:p>
    <w:p w14:paraId="17A8E180" w14:textId="0CE79CF1"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.8</w:t>
      </w:r>
      <w:r w:rsidR="00EE5861">
        <w:rPr>
          <w:rFonts w:ascii="宋体" w:hAnsi="宋体" w:hint="eastAsia"/>
          <w:b/>
          <w:sz w:val="24"/>
        </w:rPr>
        <w:t>评价证书</w:t>
      </w:r>
    </w:p>
    <w:p w14:paraId="44DFB395" w14:textId="655686B4" w:rsidR="00486D69" w:rsidRPr="00B77D92" w:rsidRDefault="00486D69" w:rsidP="00486D69">
      <w:pPr>
        <w:snapToGrid w:val="0"/>
        <w:spacing w:line="360" w:lineRule="auto"/>
        <w:ind w:firstLine="480"/>
        <w:rPr>
          <w:rFonts w:ascii="宋体" w:hAnsi="宋体"/>
          <w:sz w:val="24"/>
        </w:rPr>
      </w:pPr>
      <w:r w:rsidRPr="00B77D92">
        <w:rPr>
          <w:rFonts w:ascii="宋体" w:hAnsi="宋体" w:hint="eastAsia"/>
          <w:sz w:val="24"/>
        </w:rPr>
        <w:t>给出了</w:t>
      </w:r>
      <w:r w:rsidR="00EE5861">
        <w:rPr>
          <w:rFonts w:ascii="宋体" w:hAnsi="宋体" w:hint="eastAsia"/>
          <w:sz w:val="24"/>
        </w:rPr>
        <w:t>评价</w:t>
      </w:r>
      <w:r w:rsidRPr="00B77D92">
        <w:rPr>
          <w:rFonts w:ascii="宋体" w:hAnsi="宋体" w:hint="eastAsia"/>
          <w:sz w:val="24"/>
        </w:rPr>
        <w:t>证书中至少包括的信息</w:t>
      </w:r>
      <w:r w:rsidR="00EE5861">
        <w:rPr>
          <w:rFonts w:ascii="宋体" w:hAnsi="宋体" w:hint="eastAsia"/>
          <w:sz w:val="24"/>
        </w:rPr>
        <w:t>。</w:t>
      </w:r>
    </w:p>
    <w:p w14:paraId="54F92AED" w14:textId="77777777"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.9复校时间间隔</w:t>
      </w:r>
    </w:p>
    <w:p w14:paraId="43A53178" w14:textId="77777777" w:rsidR="00EE5861" w:rsidRDefault="00EE5861" w:rsidP="00486D69">
      <w:pPr>
        <w:snapToGrid w:val="0"/>
        <w:spacing w:line="360" w:lineRule="auto"/>
        <w:rPr>
          <w:rFonts w:ascii="宋体" w:hAnsi="宋体"/>
          <w:sz w:val="24"/>
        </w:rPr>
      </w:pPr>
      <w:r w:rsidRPr="00EE5861">
        <w:rPr>
          <w:rFonts w:ascii="宋体" w:hAnsi="宋体" w:hint="eastAsia"/>
          <w:sz w:val="24"/>
        </w:rPr>
        <w:t>误差在线评估系统中误差在线评估算法软件模块更新时，或者系统声明了新的能力时，系统需要重新评价。</w:t>
      </w:r>
    </w:p>
    <w:p w14:paraId="2DC6CE3F" w14:textId="40B38FEC" w:rsidR="00486D69" w:rsidRPr="00B77D92" w:rsidRDefault="00486D69" w:rsidP="00486D69">
      <w:pPr>
        <w:snapToGrid w:val="0"/>
        <w:spacing w:line="360" w:lineRule="auto"/>
        <w:rPr>
          <w:rFonts w:ascii="宋体" w:hAnsi="宋体" w:hint="eastAsia"/>
          <w:b/>
          <w:sz w:val="24"/>
        </w:rPr>
      </w:pPr>
      <w:r w:rsidRPr="00B77D92">
        <w:rPr>
          <w:rFonts w:ascii="宋体" w:hAnsi="宋体"/>
          <w:b/>
          <w:sz w:val="24"/>
        </w:rPr>
        <w:t>6</w:t>
      </w:r>
      <w:r w:rsidRPr="00B77D92">
        <w:rPr>
          <w:rFonts w:ascii="宋体" w:hAnsi="宋体" w:hint="eastAsia"/>
          <w:b/>
          <w:sz w:val="24"/>
        </w:rPr>
        <w:t>.10附录</w:t>
      </w:r>
    </w:p>
    <w:p w14:paraId="3EE30959" w14:textId="15532DEE" w:rsidR="00486D69" w:rsidRPr="00B77D92" w:rsidRDefault="00486D69" w:rsidP="00486D69">
      <w:pPr>
        <w:snapToGrid w:val="0"/>
        <w:spacing w:line="360" w:lineRule="auto"/>
        <w:ind w:firstLineChars="200" w:firstLine="480"/>
        <w:rPr>
          <w:rFonts w:ascii="宋体" w:hAnsi="宋体"/>
          <w:sz w:val="24"/>
        </w:rPr>
      </w:pPr>
      <w:r w:rsidRPr="00B77D92">
        <w:rPr>
          <w:rFonts w:ascii="宋体" w:hAnsi="宋体" w:hint="eastAsia"/>
          <w:sz w:val="24"/>
        </w:rPr>
        <w:t>附录A给出了</w:t>
      </w:r>
      <w:r w:rsidR="008A0E02">
        <w:rPr>
          <w:rFonts w:ascii="宋体" w:hAnsi="宋体" w:hint="eastAsia"/>
          <w:sz w:val="24"/>
        </w:rPr>
        <w:t>一种标准数据集的生成方法</w:t>
      </w:r>
      <w:r w:rsidRPr="00B77D92">
        <w:rPr>
          <w:rFonts w:ascii="宋体" w:hAnsi="宋体" w:hint="eastAsia"/>
          <w:sz w:val="24"/>
        </w:rPr>
        <w:t>，附录B</w:t>
      </w:r>
      <w:r w:rsidR="00EE5861">
        <w:rPr>
          <w:rFonts w:ascii="宋体" w:hAnsi="宋体" w:hint="eastAsia"/>
          <w:sz w:val="24"/>
        </w:rPr>
        <w:t>、</w:t>
      </w:r>
      <w:r w:rsidRPr="00B77D92">
        <w:rPr>
          <w:rFonts w:ascii="宋体" w:hAnsi="宋体" w:hint="eastAsia"/>
          <w:sz w:val="24"/>
        </w:rPr>
        <w:t>C</w:t>
      </w:r>
      <w:r w:rsidR="00EE5861">
        <w:rPr>
          <w:rFonts w:ascii="宋体" w:hAnsi="宋体" w:hint="eastAsia"/>
          <w:sz w:val="24"/>
        </w:rPr>
        <w:t>、D</w:t>
      </w:r>
      <w:r w:rsidRPr="00B77D92">
        <w:rPr>
          <w:rFonts w:ascii="宋体" w:hAnsi="宋体" w:hint="eastAsia"/>
          <w:sz w:val="24"/>
        </w:rPr>
        <w:t>给出了</w:t>
      </w:r>
      <w:r w:rsidR="00EE5861">
        <w:rPr>
          <w:rFonts w:ascii="宋体" w:hAnsi="宋体" w:hint="eastAsia"/>
          <w:sz w:val="24"/>
        </w:rPr>
        <w:t>评价</w:t>
      </w:r>
      <w:r w:rsidRPr="00B77D92">
        <w:rPr>
          <w:rFonts w:ascii="宋体" w:hAnsi="宋体" w:hint="eastAsia"/>
          <w:sz w:val="24"/>
        </w:rPr>
        <w:t>原始记录格式</w:t>
      </w:r>
      <w:r w:rsidR="00EE5861">
        <w:rPr>
          <w:rFonts w:ascii="宋体" w:hAnsi="宋体" w:hint="eastAsia"/>
          <w:sz w:val="24"/>
        </w:rPr>
        <w:t>、评价证书内页和数据页格式</w:t>
      </w:r>
      <w:r w:rsidRPr="00B77D92">
        <w:rPr>
          <w:rFonts w:ascii="宋体" w:hAnsi="宋体" w:hint="eastAsia"/>
          <w:sz w:val="24"/>
        </w:rPr>
        <w:t>。</w:t>
      </w:r>
    </w:p>
    <w:p w14:paraId="2A26616D" w14:textId="77777777" w:rsidR="00486D69" w:rsidRPr="00B77D92" w:rsidRDefault="00486D69" w:rsidP="00486D69">
      <w:pPr>
        <w:autoSpaceDE w:val="0"/>
        <w:autoSpaceDN w:val="0"/>
        <w:adjustRightInd w:val="0"/>
        <w:snapToGrid w:val="0"/>
        <w:spacing w:line="360" w:lineRule="auto"/>
        <w:ind w:right="-1"/>
        <w:jc w:val="right"/>
        <w:rPr>
          <w:rFonts w:ascii="宋体" w:hAnsi="宋体"/>
          <w:sz w:val="28"/>
          <w:szCs w:val="28"/>
        </w:rPr>
      </w:pPr>
    </w:p>
    <w:p w14:paraId="1D744E65" w14:textId="77777777" w:rsidR="00486D69" w:rsidRPr="00B77D92" w:rsidRDefault="00486D69" w:rsidP="00486D69">
      <w:pPr>
        <w:autoSpaceDE w:val="0"/>
        <w:autoSpaceDN w:val="0"/>
        <w:adjustRightInd w:val="0"/>
        <w:snapToGrid w:val="0"/>
        <w:spacing w:line="360" w:lineRule="auto"/>
        <w:ind w:right="-1"/>
        <w:jc w:val="right"/>
        <w:rPr>
          <w:rFonts w:ascii="宋体" w:hAnsi="宋体"/>
          <w:sz w:val="24"/>
          <w:szCs w:val="28"/>
        </w:rPr>
      </w:pPr>
      <w:r w:rsidRPr="00B77D92">
        <w:rPr>
          <w:rFonts w:ascii="宋体" w:hAnsi="宋体" w:hint="eastAsia"/>
          <w:sz w:val="24"/>
          <w:szCs w:val="28"/>
        </w:rPr>
        <w:t>编制工作组</w:t>
      </w:r>
    </w:p>
    <w:p w14:paraId="11F02A39" w14:textId="092F9AE7" w:rsidR="00486D69" w:rsidRPr="00B77D92" w:rsidRDefault="00486D69" w:rsidP="00486D69">
      <w:pPr>
        <w:autoSpaceDE w:val="0"/>
        <w:autoSpaceDN w:val="0"/>
        <w:adjustRightInd w:val="0"/>
        <w:snapToGrid w:val="0"/>
        <w:spacing w:line="360" w:lineRule="auto"/>
        <w:ind w:right="-1"/>
        <w:jc w:val="right"/>
        <w:rPr>
          <w:rFonts w:ascii="宋体" w:hAnsi="宋体" w:hint="eastAsia"/>
          <w:sz w:val="24"/>
          <w:szCs w:val="28"/>
        </w:rPr>
      </w:pPr>
      <w:r w:rsidRPr="00B77D92">
        <w:rPr>
          <w:rFonts w:ascii="宋体" w:hAnsi="宋体"/>
          <w:sz w:val="24"/>
          <w:szCs w:val="28"/>
        </w:rPr>
        <w:t>20</w:t>
      </w:r>
      <w:r w:rsidRPr="00B77D92">
        <w:rPr>
          <w:rFonts w:ascii="宋体" w:hAnsi="宋体" w:hint="eastAsia"/>
          <w:sz w:val="24"/>
          <w:szCs w:val="28"/>
        </w:rPr>
        <w:t>2</w:t>
      </w:r>
      <w:r w:rsidR="004525AB">
        <w:rPr>
          <w:rFonts w:ascii="宋体" w:hAnsi="宋体" w:hint="eastAsia"/>
          <w:sz w:val="24"/>
          <w:szCs w:val="28"/>
        </w:rPr>
        <w:t>6</w:t>
      </w:r>
      <w:r w:rsidRPr="00B77D92">
        <w:rPr>
          <w:rFonts w:ascii="宋体" w:hAnsi="宋体"/>
          <w:sz w:val="24"/>
          <w:szCs w:val="28"/>
        </w:rPr>
        <w:t>年</w:t>
      </w:r>
      <w:r w:rsidR="004525AB">
        <w:rPr>
          <w:rFonts w:ascii="宋体" w:hAnsi="宋体" w:hint="eastAsia"/>
          <w:sz w:val="24"/>
          <w:szCs w:val="28"/>
        </w:rPr>
        <w:t>8</w:t>
      </w:r>
      <w:r w:rsidRPr="00B77D92">
        <w:rPr>
          <w:rFonts w:ascii="宋体" w:hAnsi="宋体"/>
          <w:sz w:val="24"/>
          <w:szCs w:val="28"/>
        </w:rPr>
        <w:t>月</w:t>
      </w:r>
      <w:r w:rsidR="004525AB">
        <w:rPr>
          <w:rFonts w:ascii="宋体" w:hAnsi="宋体" w:hint="eastAsia"/>
          <w:sz w:val="24"/>
          <w:szCs w:val="28"/>
        </w:rPr>
        <w:t>7</w:t>
      </w:r>
      <w:r w:rsidRPr="00B77D92">
        <w:rPr>
          <w:rFonts w:ascii="宋体" w:hAnsi="宋体" w:hint="eastAsia"/>
          <w:sz w:val="24"/>
          <w:szCs w:val="28"/>
        </w:rPr>
        <w:t>日</w:t>
      </w:r>
    </w:p>
    <w:p w14:paraId="459082A8" w14:textId="77777777" w:rsidR="00486D69" w:rsidRPr="00B77D92" w:rsidRDefault="00486D69" w:rsidP="00486D69">
      <w:pPr>
        <w:autoSpaceDE w:val="0"/>
        <w:autoSpaceDN w:val="0"/>
        <w:adjustRightInd w:val="0"/>
        <w:snapToGrid w:val="0"/>
        <w:spacing w:line="360" w:lineRule="auto"/>
        <w:ind w:right="-1"/>
        <w:jc w:val="right"/>
        <w:rPr>
          <w:rFonts w:eastAsia="仿宋_GB2312"/>
          <w:sz w:val="28"/>
          <w:szCs w:val="28"/>
        </w:rPr>
      </w:pPr>
    </w:p>
    <w:p w14:paraId="5E5BE4FE" w14:textId="77777777" w:rsidR="006C160A" w:rsidRDefault="006C160A"/>
    <w:sectPr w:rsidR="006C160A" w:rsidSect="00486D69">
      <w:footerReference w:type="default" r:id="rId6"/>
      <w:pgSz w:w="11906" w:h="16838"/>
      <w:pgMar w:top="1191" w:right="1700" w:bottom="1191" w:left="184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015F2" w14:textId="77777777" w:rsidR="006973F0" w:rsidRDefault="006973F0" w:rsidP="00486D69">
      <w:pPr>
        <w:rPr>
          <w:rFonts w:hint="eastAsia"/>
        </w:rPr>
      </w:pPr>
      <w:r>
        <w:separator/>
      </w:r>
    </w:p>
  </w:endnote>
  <w:endnote w:type="continuationSeparator" w:id="0">
    <w:p w14:paraId="532E243B" w14:textId="77777777" w:rsidR="006973F0" w:rsidRDefault="006973F0" w:rsidP="00486D6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1387A" w14:textId="77777777" w:rsidR="00486D69" w:rsidRDefault="00486D69" w:rsidP="00B77D92">
    <w:pPr>
      <w:pStyle w:val="af0"/>
      <w:jc w:val="center"/>
    </w:pPr>
    <w:r>
      <w:fldChar w:fldCharType="begin"/>
    </w:r>
    <w:r>
      <w:instrText>PAGE   \* MERGEFORMAT</w:instrText>
    </w:r>
    <w:r>
      <w:fldChar w:fldCharType="separate"/>
    </w:r>
    <w:r w:rsidRPr="00B77D92">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25997" w14:textId="77777777" w:rsidR="006973F0" w:rsidRDefault="006973F0" w:rsidP="00486D69">
      <w:pPr>
        <w:rPr>
          <w:rFonts w:hint="eastAsia"/>
        </w:rPr>
      </w:pPr>
      <w:r>
        <w:separator/>
      </w:r>
    </w:p>
  </w:footnote>
  <w:footnote w:type="continuationSeparator" w:id="0">
    <w:p w14:paraId="487DDCCA" w14:textId="77777777" w:rsidR="006973F0" w:rsidRDefault="006973F0" w:rsidP="00486D69">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160A"/>
    <w:rsid w:val="00076D19"/>
    <w:rsid w:val="000A5810"/>
    <w:rsid w:val="00195C95"/>
    <w:rsid w:val="001C4028"/>
    <w:rsid w:val="00296BAF"/>
    <w:rsid w:val="002F7D97"/>
    <w:rsid w:val="00312038"/>
    <w:rsid w:val="003148B0"/>
    <w:rsid w:val="0033235F"/>
    <w:rsid w:val="00345DFA"/>
    <w:rsid w:val="00347EFF"/>
    <w:rsid w:val="00370392"/>
    <w:rsid w:val="00392483"/>
    <w:rsid w:val="004525AB"/>
    <w:rsid w:val="00463D41"/>
    <w:rsid w:val="00463F70"/>
    <w:rsid w:val="004756A5"/>
    <w:rsid w:val="00486D69"/>
    <w:rsid w:val="004A4BFA"/>
    <w:rsid w:val="00533448"/>
    <w:rsid w:val="005741FA"/>
    <w:rsid w:val="005836A7"/>
    <w:rsid w:val="005D2E43"/>
    <w:rsid w:val="00633B5F"/>
    <w:rsid w:val="00640E37"/>
    <w:rsid w:val="006973F0"/>
    <w:rsid w:val="006C160A"/>
    <w:rsid w:val="006C3A5F"/>
    <w:rsid w:val="006D4831"/>
    <w:rsid w:val="006D4E26"/>
    <w:rsid w:val="00772E11"/>
    <w:rsid w:val="00790A11"/>
    <w:rsid w:val="007A37F0"/>
    <w:rsid w:val="0082189C"/>
    <w:rsid w:val="00851EEF"/>
    <w:rsid w:val="00876FD4"/>
    <w:rsid w:val="008A0E02"/>
    <w:rsid w:val="008C0F90"/>
    <w:rsid w:val="008C7CB3"/>
    <w:rsid w:val="009133E1"/>
    <w:rsid w:val="009C1910"/>
    <w:rsid w:val="00A05212"/>
    <w:rsid w:val="00A3630C"/>
    <w:rsid w:val="00A944BF"/>
    <w:rsid w:val="00AA3276"/>
    <w:rsid w:val="00AB46F8"/>
    <w:rsid w:val="00B0756B"/>
    <w:rsid w:val="00BC3292"/>
    <w:rsid w:val="00BC3DE3"/>
    <w:rsid w:val="00DF1F49"/>
    <w:rsid w:val="00E733A5"/>
    <w:rsid w:val="00EA05B1"/>
    <w:rsid w:val="00EE5861"/>
    <w:rsid w:val="00F034BA"/>
    <w:rsid w:val="00FC7EA1"/>
    <w:rsid w:val="00FE1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9F9EF7"/>
  <w15:chartTrackingRefBased/>
  <w15:docId w15:val="{730D68BA-F962-4F41-AFBF-3FC6B117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86D69"/>
    <w:pPr>
      <w:widowControl w:val="0"/>
      <w:spacing w:after="0" w:line="240" w:lineRule="auto"/>
      <w:jc w:val="both"/>
    </w:pPr>
    <w:rPr>
      <w:rFonts w:ascii="Times New Roman" w:eastAsia="宋体" w:hAnsi="Times New Roman" w:cs="Times New Roman"/>
      <w:sz w:val="21"/>
      <w14:ligatures w14:val="none"/>
    </w:rPr>
  </w:style>
  <w:style w:type="paragraph" w:styleId="1">
    <w:name w:val="heading 1"/>
    <w:basedOn w:val="a"/>
    <w:next w:val="a"/>
    <w:link w:val="10"/>
    <w:qFormat/>
    <w:rsid w:val="006C160A"/>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C160A"/>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C160A"/>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C160A"/>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C160A"/>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6C160A"/>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C160A"/>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C160A"/>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C160A"/>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C160A"/>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C160A"/>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C160A"/>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C160A"/>
    <w:rPr>
      <w:rFonts w:cstheme="majorBidi"/>
      <w:color w:val="2F5496" w:themeColor="accent1" w:themeShade="BF"/>
      <w:sz w:val="28"/>
      <w:szCs w:val="28"/>
    </w:rPr>
  </w:style>
  <w:style w:type="character" w:customStyle="1" w:styleId="50">
    <w:name w:val="标题 5 字符"/>
    <w:basedOn w:val="a0"/>
    <w:link w:val="5"/>
    <w:uiPriority w:val="9"/>
    <w:semiHidden/>
    <w:rsid w:val="006C160A"/>
    <w:rPr>
      <w:rFonts w:cstheme="majorBidi"/>
      <w:color w:val="2F5496" w:themeColor="accent1" w:themeShade="BF"/>
      <w:sz w:val="24"/>
    </w:rPr>
  </w:style>
  <w:style w:type="character" w:customStyle="1" w:styleId="60">
    <w:name w:val="标题 6 字符"/>
    <w:basedOn w:val="a0"/>
    <w:link w:val="6"/>
    <w:uiPriority w:val="9"/>
    <w:semiHidden/>
    <w:rsid w:val="006C160A"/>
    <w:rPr>
      <w:rFonts w:cstheme="majorBidi"/>
      <w:b/>
      <w:bCs/>
      <w:color w:val="2F5496" w:themeColor="accent1" w:themeShade="BF"/>
    </w:rPr>
  </w:style>
  <w:style w:type="character" w:customStyle="1" w:styleId="70">
    <w:name w:val="标题 7 字符"/>
    <w:basedOn w:val="a0"/>
    <w:link w:val="7"/>
    <w:uiPriority w:val="9"/>
    <w:semiHidden/>
    <w:rsid w:val="006C160A"/>
    <w:rPr>
      <w:rFonts w:cstheme="majorBidi"/>
      <w:b/>
      <w:bCs/>
      <w:color w:val="595959" w:themeColor="text1" w:themeTint="A6"/>
    </w:rPr>
  </w:style>
  <w:style w:type="character" w:customStyle="1" w:styleId="80">
    <w:name w:val="标题 8 字符"/>
    <w:basedOn w:val="a0"/>
    <w:link w:val="8"/>
    <w:uiPriority w:val="9"/>
    <w:semiHidden/>
    <w:rsid w:val="006C160A"/>
    <w:rPr>
      <w:rFonts w:cstheme="majorBidi"/>
      <w:color w:val="595959" w:themeColor="text1" w:themeTint="A6"/>
    </w:rPr>
  </w:style>
  <w:style w:type="character" w:customStyle="1" w:styleId="90">
    <w:name w:val="标题 9 字符"/>
    <w:basedOn w:val="a0"/>
    <w:link w:val="9"/>
    <w:uiPriority w:val="9"/>
    <w:semiHidden/>
    <w:rsid w:val="006C160A"/>
    <w:rPr>
      <w:rFonts w:eastAsiaTheme="majorEastAsia" w:cstheme="majorBidi"/>
      <w:color w:val="595959" w:themeColor="text1" w:themeTint="A6"/>
    </w:rPr>
  </w:style>
  <w:style w:type="paragraph" w:styleId="a3">
    <w:name w:val="Title"/>
    <w:basedOn w:val="a"/>
    <w:next w:val="a"/>
    <w:link w:val="a4"/>
    <w:uiPriority w:val="10"/>
    <w:qFormat/>
    <w:rsid w:val="006C160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C160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C160A"/>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C160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C160A"/>
    <w:pPr>
      <w:spacing w:before="160"/>
      <w:jc w:val="center"/>
    </w:pPr>
    <w:rPr>
      <w:i/>
      <w:iCs/>
      <w:color w:val="404040" w:themeColor="text1" w:themeTint="BF"/>
    </w:rPr>
  </w:style>
  <w:style w:type="character" w:customStyle="1" w:styleId="a8">
    <w:name w:val="引用 字符"/>
    <w:basedOn w:val="a0"/>
    <w:link w:val="a7"/>
    <w:uiPriority w:val="29"/>
    <w:rsid w:val="006C160A"/>
    <w:rPr>
      <w:i/>
      <w:iCs/>
      <w:color w:val="404040" w:themeColor="text1" w:themeTint="BF"/>
    </w:rPr>
  </w:style>
  <w:style w:type="paragraph" w:styleId="a9">
    <w:name w:val="List Paragraph"/>
    <w:basedOn w:val="a"/>
    <w:uiPriority w:val="34"/>
    <w:qFormat/>
    <w:rsid w:val="006C160A"/>
    <w:pPr>
      <w:ind w:left="720"/>
      <w:contextualSpacing/>
    </w:pPr>
  </w:style>
  <w:style w:type="character" w:styleId="aa">
    <w:name w:val="Intense Emphasis"/>
    <w:basedOn w:val="a0"/>
    <w:uiPriority w:val="21"/>
    <w:qFormat/>
    <w:rsid w:val="006C160A"/>
    <w:rPr>
      <w:i/>
      <w:iCs/>
      <w:color w:val="2F5496" w:themeColor="accent1" w:themeShade="BF"/>
    </w:rPr>
  </w:style>
  <w:style w:type="paragraph" w:styleId="ab">
    <w:name w:val="Intense Quote"/>
    <w:basedOn w:val="a"/>
    <w:next w:val="a"/>
    <w:link w:val="ac"/>
    <w:uiPriority w:val="30"/>
    <w:qFormat/>
    <w:rsid w:val="006C16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C160A"/>
    <w:rPr>
      <w:i/>
      <w:iCs/>
      <w:color w:val="2F5496" w:themeColor="accent1" w:themeShade="BF"/>
    </w:rPr>
  </w:style>
  <w:style w:type="character" w:styleId="ad">
    <w:name w:val="Intense Reference"/>
    <w:basedOn w:val="a0"/>
    <w:uiPriority w:val="32"/>
    <w:qFormat/>
    <w:rsid w:val="006C160A"/>
    <w:rPr>
      <w:b/>
      <w:bCs/>
      <w:smallCaps/>
      <w:color w:val="2F5496" w:themeColor="accent1" w:themeShade="BF"/>
      <w:spacing w:val="5"/>
    </w:rPr>
  </w:style>
  <w:style w:type="paragraph" w:styleId="ae">
    <w:name w:val="header"/>
    <w:basedOn w:val="a"/>
    <w:link w:val="af"/>
    <w:uiPriority w:val="99"/>
    <w:unhideWhenUsed/>
    <w:rsid w:val="00486D69"/>
    <w:pPr>
      <w:tabs>
        <w:tab w:val="center" w:pos="4153"/>
        <w:tab w:val="right" w:pos="8306"/>
      </w:tabs>
      <w:snapToGrid w:val="0"/>
      <w:jc w:val="center"/>
    </w:pPr>
    <w:rPr>
      <w:sz w:val="18"/>
      <w:szCs w:val="18"/>
    </w:rPr>
  </w:style>
  <w:style w:type="character" w:customStyle="1" w:styleId="af">
    <w:name w:val="页眉 字符"/>
    <w:basedOn w:val="a0"/>
    <w:link w:val="ae"/>
    <w:uiPriority w:val="99"/>
    <w:rsid w:val="00486D69"/>
    <w:rPr>
      <w:sz w:val="18"/>
      <w:szCs w:val="18"/>
    </w:rPr>
  </w:style>
  <w:style w:type="paragraph" w:styleId="af0">
    <w:name w:val="footer"/>
    <w:basedOn w:val="a"/>
    <w:link w:val="af1"/>
    <w:uiPriority w:val="99"/>
    <w:unhideWhenUsed/>
    <w:rsid w:val="00486D69"/>
    <w:pPr>
      <w:tabs>
        <w:tab w:val="center" w:pos="4153"/>
        <w:tab w:val="right" w:pos="8306"/>
      </w:tabs>
      <w:snapToGrid w:val="0"/>
    </w:pPr>
    <w:rPr>
      <w:sz w:val="18"/>
      <w:szCs w:val="18"/>
    </w:rPr>
  </w:style>
  <w:style w:type="character" w:customStyle="1" w:styleId="af1">
    <w:name w:val="页脚 字符"/>
    <w:basedOn w:val="a0"/>
    <w:link w:val="af0"/>
    <w:uiPriority w:val="99"/>
    <w:rsid w:val="00486D69"/>
    <w:rPr>
      <w:sz w:val="18"/>
      <w:szCs w:val="18"/>
    </w:rPr>
  </w:style>
  <w:style w:type="character" w:customStyle="1" w:styleId="1Char">
    <w:name w:val="标题 1 Char"/>
    <w:rsid w:val="00486D69"/>
    <w:rPr>
      <w:rFonts w:ascii="宋体" w:hAnsi="宋体"/>
      <w:b/>
      <w:bCs/>
      <w:kern w:val="44"/>
      <w:sz w:val="32"/>
      <w:szCs w:val="32"/>
    </w:rPr>
  </w:style>
  <w:style w:type="character" w:customStyle="1" w:styleId="Char">
    <w:name w:val="页脚 Char"/>
    <w:rsid w:val="00486D69"/>
    <w:rPr>
      <w:kern w:val="2"/>
      <w:sz w:val="18"/>
      <w:szCs w:val="18"/>
    </w:rPr>
  </w:style>
  <w:style w:type="paragraph" w:customStyle="1" w:styleId="074">
    <w:name w:val="样式 首行缩进:  0.74 厘米"/>
    <w:basedOn w:val="a"/>
    <w:link w:val="0740"/>
    <w:qFormat/>
    <w:rsid w:val="00296BAF"/>
    <w:pPr>
      <w:ind w:firstLine="420"/>
      <w:textAlignment w:val="center"/>
    </w:pPr>
    <w:rPr>
      <w:rFonts w:cs="宋体"/>
      <w:szCs w:val="20"/>
    </w:rPr>
  </w:style>
  <w:style w:type="character" w:customStyle="1" w:styleId="0740">
    <w:name w:val="样式 首行缩进:  0.74 厘米 字符"/>
    <w:link w:val="074"/>
    <w:qFormat/>
    <w:rsid w:val="00296BAF"/>
    <w:rPr>
      <w:rFonts w:ascii="Times New Roman" w:eastAsia="宋体" w:hAnsi="Times New Roman" w:cs="宋体"/>
      <w:sz w:val="21"/>
      <w:szCs w:val="20"/>
      <w14:ligatures w14:val="none"/>
    </w:rPr>
  </w:style>
  <w:style w:type="paragraph" w:styleId="21">
    <w:name w:val="Body Text Indent 2"/>
    <w:basedOn w:val="a"/>
    <w:link w:val="22"/>
    <w:qFormat/>
    <w:rsid w:val="008C0F90"/>
    <w:pPr>
      <w:spacing w:after="120" w:line="480" w:lineRule="auto"/>
      <w:ind w:leftChars="200" w:left="420"/>
    </w:pPr>
    <w:rPr>
      <w:szCs w:val="20"/>
    </w:rPr>
  </w:style>
  <w:style w:type="character" w:customStyle="1" w:styleId="22">
    <w:name w:val="正文文本缩进 2 字符"/>
    <w:basedOn w:val="a0"/>
    <w:link w:val="21"/>
    <w:qFormat/>
    <w:rsid w:val="008C0F90"/>
    <w:rPr>
      <w:rFonts w:ascii="Times New Roman" w:eastAsia="宋体" w:hAnsi="Times New Roman" w:cs="Times New Roman"/>
      <w:sz w:val="21"/>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260</TotalTime>
  <Pages>4</Pages>
  <Words>1184</Words>
  <Characters>1516</Characters>
  <Application>Microsoft Office Word</Application>
  <DocSecurity>0</DocSecurity>
  <Lines>84</Lines>
  <Paragraphs>103</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 Huang</dc:creator>
  <cp:keywords/>
  <dc:description/>
  <cp:lastModifiedBy>Huang Huang</cp:lastModifiedBy>
  <cp:revision>47</cp:revision>
  <dcterms:created xsi:type="dcterms:W3CDTF">2026-08-07T02:28:00Z</dcterms:created>
  <dcterms:modified xsi:type="dcterms:W3CDTF">2026-08-07T07:10:00Z</dcterms:modified>
</cp:coreProperties>
</file>